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呼图壁县医疗保障局</w:t>
      </w: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kern w:val="0"/>
          <w:sz w:val="32"/>
          <w:szCs w:val="32"/>
          <w:lang w:eastAsia="zh-CN"/>
        </w:rPr>
        <w:t>呼图壁县医疗保障局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kern w:val="0"/>
          <w:sz w:val="32"/>
          <w:szCs w:val="32"/>
          <w:lang w:eastAsia="zh-CN"/>
        </w:rPr>
        <w:t>呼图壁县医疗保障局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kern w:val="0"/>
          <w:sz w:val="32"/>
          <w:szCs w:val="32"/>
          <w:lang w:eastAsia="zh-CN"/>
        </w:rPr>
        <w:t>呼图壁县医疗保障局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呼图壁县医疗保障局2024年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呼图壁县医疗保障局2024年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呼图壁县医疗保障局2024年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呼图壁县医疗保障局2024年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（一）县医疗保障局贯纫落实党中央关于医疗保障工作的方针政策和决策部署，在履行职责过程中坚持和加强党对医疗保障工作的集中统一领导。主要职责是：</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贯彻落实国家、自治区、自治州医疗保险、生育保险、人身意外伤害保险、医疗救助等医疗保障政策。执行自治州医疗保险、生育保险、大病保险、大额医疗补助、公务员医疗补助、企事业单位补充医疗保险、长期护理保险、医疗救助、享受国务院特殊津贴专家、离休人员和优抚对象医疗保障等政策措施、管理办法。</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2.贯彻落实自治州医疗保障基金监督管理办法，建立健全医疗保障基金安全防控机制，推进医疗保障基金支付方式改革工作，编制县医疗保障基金预决算草案。</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3.贯彻落实自治州医疗保障筹资和待遇政策，贯彻自治州长期护理保险制度改革的方案并组织实施。</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贯彻落实自治州药品、医用耗材价格和医疗服务项目、医疗服务设施收费等政策措施并监督实施，执行自治区制定的药品、医用耗材的招标采购政策并监督实施。落实医保支付医药服务价格合理确定和动态调整机制，建立健全市场主导的社会医药服务价格形成机制，落实医药服务价格信息检测和信息发布制度。</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5.贯彻落实药品、医用耗材、医疗服务项目、医疗服务设施等医保目录和支付标准，执行动态调整机制。</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6.贯彻落实定点医药机构协议和支付管理办法，建立健全医疗保障信用评价体系和信息披露制度，监督管理纳入医保范围内的医疗服务行为和医疗费用，依法查处医疗保障、生育保险领域违法违规行为。</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7.负责医疗保障经办管理、公共服务体系和信息化建设贯彻落实国家、自治区跨省异地就医管理和费用结算策，执行自治州异地就医和费用结算政策措施。贯彻落实医疗保障关系转移接续制度。指导医疗保障经办机构开展业务工作。</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8.完成呼图壁县党委、县人民政府交办的其他任务。</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9.职能转变。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10.与县卫生健康委员会的有关职责分工。县卫生健康委员会、县医疗保障局等部门在医疗、医保、医药等方面加强制度、政策衔接，建立沟通协商机制，协同推进改革，提高医疗资源使用效率和医疗保障水平。</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 xml:space="preserve">（二）将县社会保险管理局承担的医疗和生育保险服务职责，以及医疗和生育保险档案管理、基金管理、缴费稽核、信息系统维护、政策宣传等职责划入县医保经办服务中心。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both"/>
        <w:textAlignment w:val="auto"/>
        <w:rPr>
          <w:rFonts w:hint="eastAsia" w:ascii="仿宋_GB2312" w:hAnsi="黑体" w:eastAsia="仿宋_GB2312" w:cs="宋体"/>
          <w:b w:val="0"/>
          <w:bCs w:val="0"/>
          <w:color w:val="auto"/>
          <w:kern w:val="0"/>
          <w:sz w:val="32"/>
          <w:szCs w:val="32"/>
          <w:highlight w:val="none"/>
        </w:rPr>
      </w:pPr>
      <w:r>
        <w:rPr>
          <w:rFonts w:hint="eastAsia" w:ascii="仿宋_GB2312" w:hAnsi="黑体" w:eastAsia="仿宋_GB2312" w:cs="宋体"/>
          <w:b/>
          <w:bCs/>
          <w:color w:val="FF0000"/>
          <w:kern w:val="0"/>
          <w:sz w:val="32"/>
          <w:szCs w:val="32"/>
          <w:highlight w:val="none"/>
        </w:rPr>
        <w:t xml:space="preserve"> </w:t>
      </w:r>
      <w:r>
        <w:rPr>
          <w:rFonts w:hint="eastAsia" w:ascii="仿宋_GB2312" w:hAnsi="黑体" w:eastAsia="仿宋_GB2312" w:cs="宋体"/>
          <w:b w:val="0"/>
          <w:bCs w:val="0"/>
          <w:color w:val="auto"/>
          <w:kern w:val="0"/>
          <w:sz w:val="32"/>
          <w:szCs w:val="32"/>
          <w:highlight w:val="none"/>
        </w:rPr>
        <w:t>呼图壁县医疗保障局无下属预算单位，下设六个处室，分别是：待遇支付科、征缴稽核科、综合业务科、基金财务科、党政办、补充医疗科。</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both"/>
        <w:textAlignment w:val="auto"/>
        <w:rPr>
          <w:rFonts w:hint="eastAsia" w:ascii="仿宋_GB2312" w:hAnsi="黑体" w:eastAsia="仿宋_GB2312" w:cs="宋体"/>
          <w:b w:val="0"/>
          <w:bCs w:val="0"/>
          <w:color w:val="auto"/>
          <w:kern w:val="0"/>
          <w:sz w:val="32"/>
          <w:szCs w:val="32"/>
          <w:highlight w:val="none"/>
        </w:rPr>
      </w:pPr>
      <w:r>
        <w:rPr>
          <w:rFonts w:hint="eastAsia" w:ascii="仿宋_GB2312" w:hAnsi="黑体" w:eastAsia="仿宋_GB2312" w:cs="宋体"/>
          <w:b w:val="0"/>
          <w:bCs w:val="0"/>
          <w:color w:val="auto"/>
          <w:kern w:val="0"/>
          <w:sz w:val="32"/>
          <w:szCs w:val="32"/>
          <w:highlight w:val="none"/>
        </w:rPr>
        <w:t>呼图壁县医疗保障局编制数24，实有人数2</w:t>
      </w:r>
      <w:r>
        <w:rPr>
          <w:rFonts w:hint="eastAsia" w:ascii="仿宋_GB2312" w:hAnsi="黑体" w:eastAsia="仿宋_GB2312" w:cs="宋体"/>
          <w:b w:val="0"/>
          <w:bCs w:val="0"/>
          <w:color w:val="auto"/>
          <w:kern w:val="0"/>
          <w:sz w:val="32"/>
          <w:szCs w:val="32"/>
          <w:highlight w:val="none"/>
          <w:lang w:val="en-US" w:eastAsia="zh-CN"/>
        </w:rPr>
        <w:t>5</w:t>
      </w:r>
      <w:r>
        <w:rPr>
          <w:rFonts w:hint="eastAsia" w:ascii="仿宋_GB2312" w:hAnsi="黑体" w:eastAsia="仿宋_GB2312" w:cs="宋体"/>
          <w:b w:val="0"/>
          <w:bCs w:val="0"/>
          <w:color w:val="auto"/>
          <w:kern w:val="0"/>
          <w:sz w:val="32"/>
          <w:szCs w:val="32"/>
          <w:highlight w:val="none"/>
        </w:rPr>
        <w:t>人，其中：在职2</w:t>
      </w:r>
      <w:r>
        <w:rPr>
          <w:rFonts w:hint="eastAsia" w:ascii="仿宋_GB2312" w:hAnsi="黑体" w:eastAsia="仿宋_GB2312" w:cs="宋体"/>
          <w:b w:val="0"/>
          <w:bCs w:val="0"/>
          <w:color w:val="auto"/>
          <w:kern w:val="0"/>
          <w:sz w:val="32"/>
          <w:szCs w:val="32"/>
          <w:highlight w:val="none"/>
          <w:lang w:val="en-US" w:eastAsia="zh-CN"/>
        </w:rPr>
        <w:t>3</w:t>
      </w:r>
      <w:r>
        <w:rPr>
          <w:rFonts w:hint="eastAsia" w:ascii="仿宋_GB2312" w:hAnsi="黑体" w:eastAsia="仿宋_GB2312" w:cs="宋体"/>
          <w:b w:val="0"/>
          <w:bCs w:val="0"/>
          <w:color w:val="auto"/>
          <w:kern w:val="0"/>
          <w:sz w:val="32"/>
          <w:szCs w:val="32"/>
          <w:highlight w:val="none"/>
        </w:rPr>
        <w:t>人，增加</w:t>
      </w:r>
      <w:r>
        <w:rPr>
          <w:rFonts w:hint="eastAsia" w:ascii="仿宋_GB2312" w:hAnsi="黑体" w:eastAsia="仿宋_GB2312" w:cs="宋体"/>
          <w:b w:val="0"/>
          <w:bCs w:val="0"/>
          <w:color w:val="auto"/>
          <w:kern w:val="0"/>
          <w:sz w:val="32"/>
          <w:szCs w:val="32"/>
          <w:highlight w:val="none"/>
          <w:lang w:val="en-US" w:eastAsia="zh-CN"/>
        </w:rPr>
        <w:t>1</w:t>
      </w:r>
      <w:r>
        <w:rPr>
          <w:rFonts w:hint="eastAsia" w:ascii="仿宋_GB2312" w:hAnsi="黑体" w:eastAsia="仿宋_GB2312" w:cs="宋体"/>
          <w:b w:val="0"/>
          <w:bCs w:val="0"/>
          <w:color w:val="auto"/>
          <w:kern w:val="0"/>
          <w:sz w:val="32"/>
          <w:szCs w:val="32"/>
          <w:highlight w:val="none"/>
        </w:rPr>
        <w:t>人；退休</w:t>
      </w:r>
      <w:r>
        <w:rPr>
          <w:rFonts w:hint="eastAsia" w:ascii="仿宋_GB2312" w:hAnsi="黑体" w:eastAsia="仿宋_GB2312" w:cs="宋体"/>
          <w:b w:val="0"/>
          <w:bCs w:val="0"/>
          <w:color w:val="auto"/>
          <w:kern w:val="0"/>
          <w:sz w:val="32"/>
          <w:szCs w:val="32"/>
          <w:highlight w:val="none"/>
          <w:lang w:val="en-US" w:eastAsia="zh-CN"/>
        </w:rPr>
        <w:t>2</w:t>
      </w:r>
      <w:r>
        <w:rPr>
          <w:rFonts w:hint="eastAsia" w:ascii="仿宋_GB2312" w:hAnsi="黑体" w:eastAsia="仿宋_GB2312" w:cs="宋体"/>
          <w:b w:val="0"/>
          <w:bCs w:val="0"/>
          <w:color w:val="auto"/>
          <w:kern w:val="0"/>
          <w:sz w:val="32"/>
          <w:szCs w:val="32"/>
          <w:highlight w:val="none"/>
        </w:rPr>
        <w:t>人，增加1人；离休 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2024年呼图壁县医疗保障局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呼图壁县医疗保障局</w:t>
      </w:r>
      <w:r>
        <w:rPr>
          <w:rFonts w:hint="eastAsia" w:ascii="仿宋_GB2312" w:hAnsi="宋体" w:eastAsia="仿宋_GB2312"/>
          <w:b/>
          <w:color w:val="auto"/>
          <w:kern w:val="0"/>
          <w:sz w:val="32"/>
          <w:szCs w:val="32"/>
          <w:highlight w:val="none"/>
        </w:rPr>
        <w:t>收支总体情况表</w:t>
      </w:r>
    </w:p>
    <w:p>
      <w:pPr>
        <w:widowControl/>
        <w:spacing w:line="280" w:lineRule="exact"/>
        <w:jc w:val="both"/>
        <w:outlineLvl w:val="1"/>
        <w:rPr>
          <w:rFonts w:ascii="仿宋_GB2312" w:hAnsi="宋体" w:eastAsia="仿宋_GB2312"/>
          <w:b/>
          <w:color w:val="auto"/>
          <w:kern w:val="0"/>
          <w:sz w:val="32"/>
          <w:szCs w:val="32"/>
          <w:highlight w:val="none"/>
        </w:rPr>
      </w:pP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5</w:t>
            </w:r>
            <w:r>
              <w:rPr>
                <w:rFonts w:hint="eastAsia" w:ascii="仿宋_GB2312" w:hAnsi="宋体" w:eastAsia="仿宋_GB2312" w:cs="宋体"/>
                <w:color w:val="auto"/>
                <w:kern w:val="0"/>
                <w:sz w:val="18"/>
                <w:szCs w:val="18"/>
                <w:highlight w:val="none"/>
                <w:lang w:val="en-US" w:eastAsia="zh-CN"/>
              </w:rPr>
              <w:t>16.06</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350.57</w:t>
            </w:r>
            <w:r>
              <w:rPr>
                <w:rFonts w:hint="eastAsia" w:ascii="仿宋_GB2312" w:hAnsi="宋体" w:eastAsia="仿宋_GB2312" w:cs="宋体"/>
                <w:color w:val="auto"/>
                <w:kern w:val="0"/>
                <w:sz w:val="18"/>
                <w:szCs w:val="18"/>
                <w:highlight w:val="none"/>
                <w:lang w:val="en-US"/>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350.57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84.75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375.41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11.25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11.25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11.25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67.16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both"/>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527.32</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b/>
                <w:bCs/>
                <w:color w:val="auto"/>
                <w:kern w:val="0"/>
                <w:sz w:val="18"/>
                <w:szCs w:val="18"/>
                <w:highlight w:val="none"/>
                <w:lang w:val="en-US" w:eastAsia="zh-CN"/>
              </w:rPr>
              <w:t>527.32</w:t>
            </w:r>
          </w:p>
        </w:tc>
      </w:tr>
    </w:tbl>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eastAsia="zh-CN"/>
        </w:rPr>
        <w:t>呼图壁县医疗保障局</w:t>
      </w:r>
      <w:r>
        <w:rPr>
          <w:rFonts w:hint="eastAsia" w:ascii="仿宋_GB2312" w:hAnsi="仿宋_GB2312" w:eastAsia="仿宋_GB2312" w:cs="仿宋_GB2312"/>
          <w:b/>
          <w:bCs w:val="0"/>
          <w:color w:val="auto"/>
          <w:kern w:val="0"/>
          <w:sz w:val="32"/>
          <w:szCs w:val="32"/>
          <w:highlight w:val="none"/>
        </w:rPr>
        <w:t>收入总体情况表</w:t>
      </w:r>
    </w:p>
    <w:p>
      <w:pPr>
        <w:widowControl/>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10211" w:type="dxa"/>
        <w:tblInd w:w="-581" w:type="dxa"/>
        <w:tblLayout w:type="fixed"/>
        <w:tblCellMar>
          <w:top w:w="0" w:type="dxa"/>
          <w:left w:w="108" w:type="dxa"/>
          <w:bottom w:w="0" w:type="dxa"/>
          <w:right w:w="108" w:type="dxa"/>
        </w:tblCellMar>
      </w:tblPr>
      <w:tblGrid>
        <w:gridCol w:w="548"/>
        <w:gridCol w:w="417"/>
        <w:gridCol w:w="417"/>
        <w:gridCol w:w="1393"/>
        <w:gridCol w:w="720"/>
        <w:gridCol w:w="675"/>
        <w:gridCol w:w="750"/>
        <w:gridCol w:w="675"/>
        <w:gridCol w:w="495"/>
        <w:gridCol w:w="645"/>
        <w:gridCol w:w="375"/>
        <w:gridCol w:w="735"/>
        <w:gridCol w:w="495"/>
        <w:gridCol w:w="630"/>
        <w:gridCol w:w="734"/>
        <w:gridCol w:w="507"/>
      </w:tblGrid>
      <w:tr>
        <w:tblPrEx>
          <w:tblCellMar>
            <w:top w:w="0" w:type="dxa"/>
            <w:left w:w="108" w:type="dxa"/>
            <w:bottom w:w="0" w:type="dxa"/>
            <w:right w:w="108" w:type="dxa"/>
          </w:tblCellMar>
        </w:tblPrEx>
        <w:trPr>
          <w:trHeight w:val="697" w:hRule="atLeast"/>
        </w:trPr>
        <w:tc>
          <w:tcPr>
            <w:tcW w:w="138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9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5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9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3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3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48" w:type="dxa"/>
            <w:tcBorders>
              <w:left w:val="single" w:color="auto" w:sz="4" w:space="0"/>
              <w:bottom w:val="single" w:color="auto" w:sz="4" w:space="0"/>
              <w:right w:val="single" w:color="auto" w:sz="4" w:space="0"/>
            </w:tcBorders>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93"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c>
          <w:tcPr>
            <w:tcW w:w="6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9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3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95"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c>
          <w:tcPr>
            <w:tcW w:w="630"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c>
          <w:tcPr>
            <w:tcW w:w="734"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　</w:t>
            </w:r>
          </w:p>
        </w:tc>
        <w:tc>
          <w:tcPr>
            <w:tcW w:w="41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　</w:t>
            </w:r>
          </w:p>
        </w:tc>
        <w:tc>
          <w:tcPr>
            <w:tcW w:w="1393"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社会保障和就业支出</w:t>
            </w:r>
          </w:p>
        </w:tc>
        <w:tc>
          <w:tcPr>
            <w:tcW w:w="72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84.75</w:t>
            </w:r>
          </w:p>
        </w:tc>
        <w:tc>
          <w:tcPr>
            <w:tcW w:w="67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34.75</w:t>
            </w:r>
          </w:p>
        </w:tc>
        <w:tc>
          <w:tcPr>
            <w:tcW w:w="75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34.75</w:t>
            </w:r>
          </w:p>
        </w:tc>
        <w:tc>
          <w:tcPr>
            <w:tcW w:w="67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49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37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49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16"/>
                <w:szCs w:val="16"/>
                <w:highlight w:val="none"/>
              </w:rPr>
            </w:pPr>
          </w:p>
        </w:tc>
        <w:tc>
          <w:tcPr>
            <w:tcW w:w="63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50</w:t>
            </w:r>
          </w:p>
        </w:tc>
        <w:tc>
          <w:tcPr>
            <w:tcW w:w="73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　</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　</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行政事业单位养老支出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84.75</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34.75</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34.75</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50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事业单位离退休</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1.86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1.86</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1.86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　</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　</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　</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机关事业单位基本养老保险缴费支出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72.89</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32.89</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32.89</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06</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机关事业单位职业年金缴费支出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7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卫生健康支出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375.41</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288.66</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288.66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75.5</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11.25</w:t>
            </w: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行政事业单位医疗</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48.89</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22.89</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22.89</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26</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4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行政单位医疗</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26.31</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6.31</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6.31</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4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事业单位医疗</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11.95</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11.95</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11.95</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60"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03</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公务员医疗补助</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10.52</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4.52</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4.52</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99</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其他行政事业单位医疗支出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0.11</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0.11</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0.11</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医疗保障管理事务</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326.52</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265.77</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265.77</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49.5</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11.25</w:t>
            </w: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16"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行政运行</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134.28</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99.78</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99.78</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34.5</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90"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06</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医疗保障经办事务</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11.25</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11.25</w:t>
            </w: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90" w:hRule="atLeast"/>
        </w:trPr>
        <w:tc>
          <w:tcPr>
            <w:tcW w:w="5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15</w:t>
            </w:r>
          </w:p>
        </w:tc>
        <w:tc>
          <w:tcPr>
            <w:tcW w:w="41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50</w:t>
            </w:r>
          </w:p>
        </w:tc>
        <w:tc>
          <w:tcPr>
            <w:tcW w:w="13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事业运行</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180.99</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165.99</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165.99</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15</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221</w:t>
            </w:r>
          </w:p>
        </w:tc>
        <w:tc>
          <w:tcPr>
            <w:tcW w:w="417"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417"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1393"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住房保障支出</w:t>
            </w:r>
          </w:p>
        </w:tc>
        <w:tc>
          <w:tcPr>
            <w:tcW w:w="720"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67.16</w:t>
            </w:r>
          </w:p>
        </w:tc>
        <w:tc>
          <w:tcPr>
            <w:tcW w:w="67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750"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67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住房改革支出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67.16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住房公积金</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67.16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both"/>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17" w:type="dxa"/>
            <w:tcBorders>
              <w:top w:val="nil"/>
              <w:left w:val="nil"/>
              <w:bottom w:val="single" w:color="auto" w:sz="4" w:space="0"/>
              <w:right w:val="single" w:color="auto" w:sz="4" w:space="0"/>
            </w:tcBorders>
            <w:vAlign w:val="center"/>
          </w:tcPr>
          <w:p>
            <w:pPr>
              <w:jc w:val="both"/>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17" w:type="dxa"/>
            <w:tcBorders>
              <w:top w:val="nil"/>
              <w:left w:val="nil"/>
              <w:bottom w:val="single" w:color="auto" w:sz="4" w:space="0"/>
              <w:right w:val="single" w:color="auto" w:sz="4" w:space="0"/>
            </w:tcBorders>
            <w:vAlign w:val="center"/>
          </w:tcPr>
          <w:p>
            <w:pPr>
              <w:jc w:val="both"/>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1393" w:type="dxa"/>
            <w:tcBorders>
              <w:top w:val="nil"/>
              <w:left w:val="nil"/>
              <w:bottom w:val="single" w:color="auto" w:sz="4" w:space="0"/>
              <w:right w:val="single" w:color="auto" w:sz="4" w:space="0"/>
            </w:tcBorders>
            <w:vAlign w:val="center"/>
          </w:tcPr>
          <w:p>
            <w:pPr>
              <w:jc w:val="both"/>
              <w:rPr>
                <w:rFonts w:ascii="仿宋_GB2312" w:hAnsi="宋体" w:eastAsia="仿宋_GB2312" w:cs="宋体"/>
                <w:color w:val="auto"/>
                <w:sz w:val="16"/>
                <w:szCs w:val="16"/>
                <w:highlight w:val="none"/>
              </w:rPr>
            </w:pPr>
            <w:r>
              <w:rPr>
                <w:rFonts w:hint="eastAsia" w:ascii="仿宋_GB2312" w:eastAsia="仿宋_GB2312"/>
                <w:b/>
                <w:bCs/>
                <w:color w:val="auto"/>
                <w:sz w:val="16"/>
                <w:szCs w:val="16"/>
                <w:highlight w:val="none"/>
              </w:rPr>
              <w:t>合  计</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527.32</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350.57</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350.57</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165.5</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11.25</w:t>
            </w: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bl>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呼图壁县医疗保障局</w:t>
      </w:r>
      <w:r>
        <w:rPr>
          <w:rFonts w:hint="eastAsia" w:ascii="仿宋_GB2312" w:hAnsi="宋体" w:eastAsia="仿宋_GB2312"/>
          <w:b/>
          <w:color w:val="auto"/>
          <w:kern w:val="0"/>
          <w:sz w:val="32"/>
          <w:szCs w:val="32"/>
          <w:highlight w:val="none"/>
        </w:rPr>
        <w:t>支出总体情况表</w:t>
      </w:r>
    </w:p>
    <w:p>
      <w:pPr>
        <w:widowControl/>
        <w:spacing w:line="280" w:lineRule="exact"/>
        <w:jc w:val="both"/>
        <w:outlineLvl w:val="1"/>
        <w:rPr>
          <w:rFonts w:ascii="仿宋_GB2312" w:hAnsi="宋体" w:eastAsia="仿宋_GB2312"/>
          <w:b/>
          <w:color w:val="auto"/>
          <w:kern w:val="0"/>
          <w:sz w:val="32"/>
          <w:szCs w:val="32"/>
          <w:highlight w:val="none"/>
        </w:rPr>
      </w:pP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59"/>
        <w:gridCol w:w="480"/>
        <w:gridCol w:w="480"/>
        <w:gridCol w:w="2820"/>
        <w:gridCol w:w="1755"/>
        <w:gridCol w:w="1740"/>
        <w:gridCol w:w="1586"/>
      </w:tblGrid>
      <w:tr>
        <w:tblPrEx>
          <w:tblCellMar>
            <w:top w:w="0" w:type="dxa"/>
            <w:left w:w="108" w:type="dxa"/>
            <w:bottom w:w="0" w:type="dxa"/>
            <w:right w:w="108" w:type="dxa"/>
          </w:tblCellMar>
        </w:tblPrEx>
        <w:trPr>
          <w:trHeight w:val="328" w:hRule="atLeast"/>
        </w:trPr>
        <w:tc>
          <w:tcPr>
            <w:tcW w:w="4339"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081"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51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82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5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4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58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310" w:hRule="atLeast"/>
        </w:trPr>
        <w:tc>
          <w:tcPr>
            <w:tcW w:w="559"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82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75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74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58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208</w:t>
            </w:r>
          </w:p>
        </w:tc>
        <w:tc>
          <w:tcPr>
            <w:tcW w:w="480"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　</w:t>
            </w:r>
          </w:p>
        </w:tc>
        <w:tc>
          <w:tcPr>
            <w:tcW w:w="480"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　</w:t>
            </w:r>
          </w:p>
        </w:tc>
        <w:tc>
          <w:tcPr>
            <w:tcW w:w="2820"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社会保障和就业支出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84.75</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84.75</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208　</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05</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　</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行政事业单位养老支出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84.75</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84.75</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事业单位离退休</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1.86</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1.86</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208　</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05　</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机关事业单位基本养老保险缴费支出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72.89</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72.89</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06</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机关事业单位职业年金缴费支出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10.00</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10.00</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卫生健康支出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375.41</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375.41</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11.25</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行政事业单位医疗</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48.89</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48.89</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01</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行政单位医疗</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26.31</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26.31</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事业单位医疗</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11.95</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11.95</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03</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公务员医疗补助</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10.52</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10.52</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99</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其他行政事业单位医疗支出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0.11</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0.11</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15</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医疗保障管理事务</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326.52</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326.52</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11.25</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15</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01</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行政运行</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134.28</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134.28</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15</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06</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医疗保障经办事务</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11.25</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11.25</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15</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50</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事业运行</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180.99</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180.99</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221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住房保障支出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67.16</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67.16</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221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02</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住房改革支出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67.16</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67.16</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221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02</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lang w:val="en-US" w:eastAsia="zh-CN"/>
              </w:rPr>
              <w:t>01</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lang w:val="en-US" w:eastAsia="zh-CN"/>
              </w:rPr>
              <w:t>住房公积金</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67.16</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67.16</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22"/>
                <w:szCs w:val="22"/>
                <w:highlight w:val="none"/>
              </w:rPr>
            </w:pP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2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2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both"/>
              <w:rPr>
                <w:color w:val="auto"/>
                <w:highlight w:val="none"/>
              </w:rPr>
            </w:pPr>
          </w:p>
        </w:tc>
        <w:tc>
          <w:tcPr>
            <w:tcW w:w="480" w:type="dxa"/>
            <w:tcBorders>
              <w:top w:val="nil"/>
              <w:left w:val="nil"/>
              <w:bottom w:val="single" w:color="auto" w:sz="4" w:space="0"/>
              <w:right w:val="single" w:color="auto" w:sz="4" w:space="0"/>
            </w:tcBorders>
            <w:vAlign w:val="center"/>
          </w:tcPr>
          <w:p>
            <w:pPr>
              <w:jc w:val="both"/>
              <w:rPr>
                <w:color w:val="auto"/>
                <w:highlight w:val="none"/>
              </w:rPr>
            </w:pPr>
          </w:p>
        </w:tc>
        <w:tc>
          <w:tcPr>
            <w:tcW w:w="480" w:type="dxa"/>
            <w:tcBorders>
              <w:top w:val="nil"/>
              <w:left w:val="nil"/>
              <w:bottom w:val="single" w:color="auto" w:sz="4" w:space="0"/>
              <w:right w:val="single" w:color="auto" w:sz="4" w:space="0"/>
            </w:tcBorders>
            <w:vAlign w:val="center"/>
          </w:tcPr>
          <w:p>
            <w:pPr>
              <w:jc w:val="both"/>
              <w:rPr>
                <w:color w:val="auto"/>
                <w:highlight w:val="none"/>
              </w:rPr>
            </w:pPr>
          </w:p>
        </w:tc>
        <w:tc>
          <w:tcPr>
            <w:tcW w:w="2820" w:type="dxa"/>
            <w:tcBorders>
              <w:top w:val="nil"/>
              <w:left w:val="nil"/>
              <w:bottom w:val="single" w:color="auto" w:sz="4" w:space="0"/>
              <w:right w:val="single" w:color="auto" w:sz="4" w:space="0"/>
            </w:tcBorders>
            <w:vAlign w:val="center"/>
          </w:tcPr>
          <w:p>
            <w:pPr>
              <w:jc w:val="both"/>
              <w:rPr>
                <w:color w:val="auto"/>
                <w:highlight w:val="none"/>
              </w:rPr>
            </w:pP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4"/>
                <w:highlight w:val="none"/>
              </w:rPr>
            </w:pPr>
          </w:p>
        </w:tc>
        <w:tc>
          <w:tcPr>
            <w:tcW w:w="28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527.32</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516.07</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11.25</w:t>
            </w:r>
          </w:p>
        </w:tc>
      </w:tr>
    </w:tbl>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both"/>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编制单位：呼图壁县医疗保障局</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350.57</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350.57</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34.75</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34.75</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288.66</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288.66</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27.16</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27.16</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350.57</w:t>
            </w:r>
          </w:p>
        </w:tc>
        <w:tc>
          <w:tcPr>
            <w:tcW w:w="25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350.57</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350.57</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bl>
    <w:p>
      <w:pPr>
        <w:pStyle w:val="2"/>
        <w:rPr>
          <w:rFonts w:hint="default"/>
          <w:lang w:val="en-US" w:eastAsia="zh-CN"/>
        </w:rPr>
      </w:pPr>
    </w:p>
    <w:p>
      <w:pPr>
        <w:pStyle w:val="2"/>
        <w:rPr>
          <w:rFonts w:hint="default"/>
          <w:lang w:val="en-US" w:eastAsia="zh-CN"/>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93"/>
        <w:gridCol w:w="495"/>
        <w:gridCol w:w="510"/>
        <w:gridCol w:w="2670"/>
        <w:gridCol w:w="379"/>
        <w:gridCol w:w="1240"/>
        <w:gridCol w:w="1756"/>
        <w:gridCol w:w="157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268" w:type="dxa"/>
            <w:gridSpan w:val="4"/>
            <w:tcBorders>
              <w:top w:val="nil"/>
              <w:left w:val="nil"/>
              <w:bottom w:val="nil"/>
              <w:right w:val="nil"/>
            </w:tcBorders>
            <w:vAlign w:val="center"/>
          </w:tcPr>
          <w:p>
            <w:pPr>
              <w:widowControl/>
              <w:jc w:val="both"/>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编制单位：呼图壁县医疗保障局</w:t>
            </w:r>
            <w:r>
              <w:rPr>
                <w:rFonts w:hint="eastAsia" w:ascii="仿宋_GB2312" w:hAnsi="宋体" w:eastAsia="仿宋_GB2312" w:cs="宋体"/>
                <w:color w:val="auto"/>
                <w:kern w:val="0"/>
                <w:sz w:val="24"/>
                <w:highlight w:val="none"/>
                <w:lang w:val="en-US" w:eastAsia="zh-CN"/>
              </w:rPr>
              <w:t xml:space="preserve">    </w:t>
            </w:r>
          </w:p>
        </w:tc>
        <w:tc>
          <w:tcPr>
            <w:tcW w:w="379" w:type="dxa"/>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p>
        </w:tc>
        <w:tc>
          <w:tcPr>
            <w:tcW w:w="1240" w:type="dxa"/>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68"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46"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98"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7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19"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7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93"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1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7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619" w:type="dxa"/>
            <w:gridSpan w:val="2"/>
            <w:vMerge w:val="continue"/>
            <w:tcBorders>
              <w:top w:val="nil"/>
              <w:left w:val="single" w:color="auto" w:sz="4" w:space="0"/>
              <w:bottom w:val="single" w:color="000000" w:sz="4" w:space="0"/>
              <w:right w:val="single" w:color="auto" w:sz="4" w:space="0"/>
            </w:tcBorders>
            <w:vAlign w:val="center"/>
          </w:tcPr>
          <w:p>
            <w:pPr>
              <w:widowControl/>
              <w:jc w:val="both"/>
              <w:rPr>
                <w:rFonts w:ascii="仿宋_GB2312" w:hAnsi="宋体" w:eastAsia="仿宋_GB2312" w:cs="宋体"/>
                <w:b/>
                <w:bCs/>
                <w:color w:val="auto"/>
                <w:kern w:val="0"/>
                <w:sz w:val="20"/>
                <w:szCs w:val="20"/>
                <w:highlight w:val="none"/>
              </w:rPr>
            </w:pPr>
          </w:p>
        </w:tc>
        <w:tc>
          <w:tcPr>
            <w:tcW w:w="1756" w:type="dxa"/>
            <w:vMerge w:val="continue"/>
            <w:tcBorders>
              <w:top w:val="nil"/>
              <w:left w:val="single" w:color="auto" w:sz="4" w:space="0"/>
              <w:bottom w:val="single" w:color="000000" w:sz="4" w:space="0"/>
              <w:right w:val="single" w:color="auto" w:sz="4" w:space="0"/>
            </w:tcBorders>
            <w:vAlign w:val="center"/>
          </w:tcPr>
          <w:p>
            <w:pPr>
              <w:widowControl/>
              <w:jc w:val="both"/>
              <w:rPr>
                <w:rFonts w:ascii="仿宋_GB2312" w:hAnsi="宋体" w:eastAsia="仿宋_GB2312" w:cs="宋体"/>
                <w:b/>
                <w:bCs/>
                <w:color w:val="auto"/>
                <w:kern w:val="0"/>
                <w:sz w:val="20"/>
                <w:szCs w:val="20"/>
                <w:highlight w:val="none"/>
              </w:rPr>
            </w:pPr>
          </w:p>
        </w:tc>
        <w:tc>
          <w:tcPr>
            <w:tcW w:w="1571" w:type="dxa"/>
            <w:vMerge w:val="continue"/>
            <w:tcBorders>
              <w:top w:val="nil"/>
              <w:left w:val="single" w:color="auto" w:sz="4" w:space="0"/>
              <w:bottom w:val="single" w:color="000000" w:sz="4" w:space="0"/>
              <w:right w:val="single" w:color="auto" w:sz="4" w:space="0"/>
            </w:tcBorders>
            <w:vAlign w:val="center"/>
          </w:tcPr>
          <w:p>
            <w:pPr>
              <w:widowControl/>
              <w:jc w:val="both"/>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社会保障和就业支出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34.75</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34.75</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行政事业单位养老支出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34.75</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34.75</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事业单位离退休</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1.86</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1.86</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208</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05</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机关事业单位基本养老保险缴费支出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32.89</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32.89</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卫生健康支出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288.66</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288.66</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行政事业单位医疗</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22.89</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22.89</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01</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行政单位医疗</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6.31</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6.31</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事业单位医疗</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11.95</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11.95</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03</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公务员医疗补助</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4.52</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4.52</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8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11</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99</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其他行政事业单位医疗支出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0.11</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0.11</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　</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15　</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医疗保障管理事务</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265.77</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265.77</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　</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15</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01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行政运行</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lang w:val="en-US" w:eastAsia="zh-CN"/>
              </w:rPr>
            </w:pPr>
            <w:r>
              <w:rPr>
                <w:rFonts w:hint="eastAsia" w:ascii="仿宋_GB2312" w:hAnsi="仿宋_GB2312" w:eastAsia="仿宋_GB2312" w:cs="仿宋_GB2312"/>
                <w:i w:val="0"/>
                <w:color w:val="000000"/>
                <w:kern w:val="0"/>
                <w:sz w:val="21"/>
                <w:szCs w:val="21"/>
                <w:u w:val="none"/>
                <w:lang w:val="en-US" w:eastAsia="zh-CN" w:bidi="ar"/>
              </w:rPr>
              <w:t>99.78</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i w:val="0"/>
                <w:color w:val="000000"/>
                <w:kern w:val="0"/>
                <w:sz w:val="22"/>
                <w:szCs w:val="22"/>
                <w:u w:val="none"/>
                <w:lang w:val="en-US" w:eastAsia="zh-CN" w:bidi="ar"/>
              </w:rPr>
              <w:t>99.78</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210　</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15</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50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事业运行</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165.99</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165.99</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221　</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住房保障支出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27.16</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27.16</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221</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02　</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住房改革支出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27.16</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27.16</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221</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01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住房公积金</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27.16</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27.16</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1619"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175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495"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2670"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1619" w:type="dxa"/>
            <w:gridSpan w:val="2"/>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1756"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1571"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495"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2670"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350.57</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350.57</w:t>
            </w:r>
          </w:p>
        </w:tc>
        <w:tc>
          <w:tcPr>
            <w:tcW w:w="157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u w:val="none"/>
                <w:lang w:val="en-US" w:eastAsia="zh-CN" w:bidi="ar"/>
              </w:rPr>
            </w:pPr>
          </w:p>
        </w:tc>
      </w:tr>
    </w:tbl>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编制单位：呼图壁县医疗保障局</w:t>
            </w:r>
          </w:p>
        </w:tc>
        <w:tc>
          <w:tcPr>
            <w:tcW w:w="995" w:type="dxa"/>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u w:val="none"/>
                <w:lang w:val="en-US" w:eastAsia="zh-CN" w:bidi="ar"/>
              </w:rPr>
              <w:t>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337.68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337.68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u w:val="none"/>
                <w:lang w:val="en-US" w:eastAsia="zh-CN" w:bidi="ar"/>
              </w:rPr>
              <w:t>基本工资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83.37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83.37</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u w:val="none"/>
                <w:lang w:val="en-US" w:eastAsia="zh-CN" w:bidi="ar"/>
              </w:rPr>
              <w:t>津贴补贴</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40.49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40.49</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03</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u w:val="none"/>
                <w:lang w:val="en-US" w:eastAsia="zh-CN" w:bidi="ar"/>
              </w:rPr>
              <w:t>奖金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64.03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64.03</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u w:val="none"/>
                <w:lang w:val="en-US" w:eastAsia="zh-CN" w:bidi="ar"/>
              </w:rPr>
              <w:t>绩效工资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38.45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38.45</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32.89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32.89</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10</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16.47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16.47</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u w:val="none"/>
                <w:lang w:val="en-US" w:eastAsia="zh-CN" w:bidi="ar"/>
              </w:rPr>
              <w:t>公务员医疗补助缴费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4.52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4.52</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12</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u w:val="none"/>
                <w:lang w:val="en-US" w:eastAsia="zh-CN" w:bidi="ar"/>
              </w:rPr>
              <w:t>其他社会保障缴费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1.68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1.68</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u w:val="none"/>
                <w:lang w:val="en-US" w:eastAsia="zh-CN" w:bidi="ar"/>
              </w:rPr>
              <w:t>住房公积金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27.16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27.16</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u w:val="none"/>
                <w:lang w:val="en-US" w:eastAsia="zh-CN" w:bidi="ar"/>
              </w:rPr>
              <w:t>其他工资福利支出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28.62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u w:val="none"/>
                <w:lang w:val="en-US" w:eastAsia="zh-CN" w:bidi="ar"/>
              </w:rPr>
              <w:t>28.62</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商品和服务支出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9.23</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9.23</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办公费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1.46</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1.46</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印刷费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0.30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0.30</w:t>
            </w: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05</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0.50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0.50</w:t>
            </w: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06</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0.40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0.40</w:t>
            </w: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邮电费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0.40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0.40</w:t>
            </w:r>
          </w:p>
        </w:tc>
      </w:tr>
      <w:tr>
        <w:tblPrEx>
          <w:tblCellMar>
            <w:top w:w="0" w:type="dxa"/>
            <w:left w:w="108" w:type="dxa"/>
            <w:bottom w:w="0" w:type="dxa"/>
            <w:right w:w="108" w:type="dxa"/>
          </w:tblCellMar>
        </w:tblPrEx>
        <w:trPr>
          <w:trHeight w:val="25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差旅费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0.30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0.30</w:t>
            </w: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维修（护）费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0.30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0.30</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28</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3.97</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3.97</w:t>
            </w:r>
          </w:p>
        </w:tc>
      </w:tr>
      <w:tr>
        <w:tblPrEx>
          <w:tblCellMar>
            <w:top w:w="0" w:type="dxa"/>
            <w:left w:w="108" w:type="dxa"/>
            <w:bottom w:w="0" w:type="dxa"/>
            <w:right w:w="108" w:type="dxa"/>
          </w:tblCellMar>
        </w:tblPrEx>
        <w:trPr>
          <w:trHeight w:val="37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31</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公务用车运行维护费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1.60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1.60</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对个人和家庭的补助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3.66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3.66</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退休费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1.66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1.66</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医疗费补助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1.80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1.80</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09</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1.80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1.80</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其他对个人和家庭的补助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0.00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u w:val="none"/>
                <w:lang w:val="en-US" w:eastAsia="zh-CN" w:bidi="ar"/>
              </w:rPr>
              <w:t>0.00</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　350.57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　350.57</w:t>
            </w:r>
          </w:p>
        </w:tc>
        <w:tc>
          <w:tcPr>
            <w:tcW w:w="1701"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bl>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编制单位：呼图壁县医疗保障局</w:t>
            </w:r>
          </w:p>
        </w:tc>
        <w:tc>
          <w:tcPr>
            <w:tcW w:w="981" w:type="dxa"/>
            <w:gridSpan w:val="2"/>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center"/>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center"/>
              <w:outlineLvl w:val="1"/>
              <w:rPr>
                <w:rFonts w:ascii="仿宋_GB2312" w:hAnsi="宋体" w:eastAsia="仿宋_GB2312"/>
                <w:color w:val="auto"/>
                <w:kern w:val="0"/>
                <w:sz w:val="32"/>
                <w:szCs w:val="32"/>
                <w:highlight w:val="none"/>
              </w:rPr>
            </w:pPr>
          </w:p>
        </w:tc>
        <w:tc>
          <w:tcPr>
            <w:tcW w:w="417" w:type="dxa"/>
            <w:vAlign w:val="top"/>
          </w:tcPr>
          <w:p>
            <w:pPr>
              <w:widowControl/>
              <w:jc w:val="center"/>
              <w:outlineLvl w:val="1"/>
              <w:rPr>
                <w:rFonts w:hint="eastAsia" w:ascii="仿宋_GB2312" w:hAnsi="宋体" w:eastAsia="仿宋_GB2312"/>
                <w:color w:val="auto"/>
                <w:kern w:val="0"/>
                <w:sz w:val="32"/>
                <w:szCs w:val="32"/>
                <w:highlight w:val="none"/>
                <w:lang w:eastAsia="zh-Hans"/>
              </w:rPr>
            </w:pPr>
          </w:p>
        </w:tc>
        <w:tc>
          <w:tcPr>
            <w:tcW w:w="417" w:type="dxa"/>
            <w:vAlign w:val="top"/>
          </w:tcPr>
          <w:p>
            <w:pPr>
              <w:widowControl/>
              <w:jc w:val="center"/>
              <w:outlineLvl w:val="1"/>
              <w:rPr>
                <w:rFonts w:ascii="仿宋_GB2312" w:hAnsi="宋体" w:eastAsia="仿宋_GB2312"/>
                <w:color w:val="auto"/>
                <w:kern w:val="0"/>
                <w:sz w:val="32"/>
                <w:szCs w:val="32"/>
                <w:highlight w:val="none"/>
              </w:rPr>
            </w:pPr>
          </w:p>
        </w:tc>
        <w:tc>
          <w:tcPr>
            <w:tcW w:w="828" w:type="dxa"/>
            <w:vAlign w:val="top"/>
          </w:tcPr>
          <w:p>
            <w:pPr>
              <w:widowControl/>
              <w:jc w:val="center"/>
              <w:outlineLvl w:val="1"/>
              <w:rPr>
                <w:rFonts w:ascii="仿宋_GB2312" w:hAnsi="宋体" w:eastAsia="仿宋_GB2312"/>
                <w:color w:val="auto"/>
                <w:kern w:val="0"/>
                <w:sz w:val="32"/>
                <w:szCs w:val="32"/>
                <w:highlight w:val="none"/>
              </w:rPr>
            </w:pPr>
          </w:p>
        </w:tc>
        <w:tc>
          <w:tcPr>
            <w:tcW w:w="1400" w:type="dxa"/>
            <w:vAlign w:val="top"/>
          </w:tcPr>
          <w:p>
            <w:pPr>
              <w:widowControl/>
              <w:jc w:val="center"/>
              <w:outlineLvl w:val="1"/>
              <w:rPr>
                <w:rFonts w:ascii="仿宋_GB2312" w:hAnsi="宋体" w:eastAsia="仿宋_GB2312"/>
                <w:color w:val="auto"/>
                <w:kern w:val="0"/>
                <w:sz w:val="32"/>
                <w:szCs w:val="32"/>
                <w:highlight w:val="none"/>
              </w:rPr>
            </w:pPr>
          </w:p>
        </w:tc>
        <w:tc>
          <w:tcPr>
            <w:tcW w:w="732" w:type="dxa"/>
            <w:vAlign w:val="top"/>
          </w:tcPr>
          <w:p>
            <w:pPr>
              <w:widowControl/>
              <w:jc w:val="center"/>
              <w:outlineLvl w:val="1"/>
              <w:rPr>
                <w:rFonts w:ascii="仿宋_GB2312" w:hAnsi="宋体" w:eastAsia="仿宋_GB2312"/>
                <w:color w:val="auto"/>
                <w:kern w:val="0"/>
                <w:sz w:val="32"/>
                <w:szCs w:val="32"/>
                <w:highlight w:val="none"/>
              </w:rPr>
            </w:pPr>
          </w:p>
        </w:tc>
        <w:tc>
          <w:tcPr>
            <w:tcW w:w="561" w:type="dxa"/>
            <w:gridSpan w:val="2"/>
            <w:vAlign w:val="top"/>
          </w:tcPr>
          <w:p>
            <w:pPr>
              <w:widowControl/>
              <w:jc w:val="center"/>
              <w:outlineLvl w:val="1"/>
              <w:rPr>
                <w:rFonts w:ascii="仿宋_GB2312" w:hAnsi="宋体" w:eastAsia="仿宋_GB2312"/>
                <w:color w:val="auto"/>
                <w:kern w:val="0"/>
                <w:sz w:val="32"/>
                <w:szCs w:val="32"/>
                <w:highlight w:val="none"/>
              </w:rPr>
            </w:pPr>
          </w:p>
        </w:tc>
        <w:tc>
          <w:tcPr>
            <w:tcW w:w="530" w:type="dxa"/>
            <w:vAlign w:val="top"/>
          </w:tcPr>
          <w:p>
            <w:pPr>
              <w:widowControl/>
              <w:jc w:val="center"/>
              <w:outlineLvl w:val="1"/>
              <w:rPr>
                <w:rFonts w:ascii="仿宋_GB2312" w:hAnsi="宋体" w:eastAsia="仿宋_GB2312"/>
                <w:color w:val="auto"/>
                <w:kern w:val="0"/>
                <w:sz w:val="32"/>
                <w:szCs w:val="32"/>
                <w:highlight w:val="none"/>
              </w:rPr>
            </w:pPr>
          </w:p>
        </w:tc>
        <w:tc>
          <w:tcPr>
            <w:tcW w:w="639" w:type="dxa"/>
            <w:vAlign w:val="top"/>
          </w:tcPr>
          <w:p>
            <w:pPr>
              <w:widowControl/>
              <w:jc w:val="center"/>
              <w:outlineLvl w:val="1"/>
              <w:rPr>
                <w:rFonts w:ascii="仿宋_GB2312" w:hAnsi="宋体" w:eastAsia="仿宋_GB2312"/>
                <w:color w:val="auto"/>
                <w:kern w:val="0"/>
                <w:sz w:val="32"/>
                <w:szCs w:val="32"/>
                <w:highlight w:val="none"/>
              </w:rPr>
            </w:pPr>
          </w:p>
        </w:tc>
        <w:tc>
          <w:tcPr>
            <w:tcW w:w="639" w:type="dxa"/>
            <w:vAlign w:val="top"/>
          </w:tcPr>
          <w:p>
            <w:pPr>
              <w:widowControl/>
              <w:jc w:val="center"/>
              <w:outlineLvl w:val="1"/>
              <w:rPr>
                <w:rFonts w:ascii="仿宋_GB2312" w:hAnsi="宋体" w:eastAsia="仿宋_GB2312"/>
                <w:color w:val="auto"/>
                <w:kern w:val="0"/>
                <w:sz w:val="32"/>
                <w:szCs w:val="32"/>
                <w:highlight w:val="none"/>
              </w:rPr>
            </w:pPr>
          </w:p>
        </w:tc>
        <w:tc>
          <w:tcPr>
            <w:tcW w:w="618" w:type="dxa"/>
            <w:gridSpan w:val="2"/>
            <w:vAlign w:val="top"/>
          </w:tcPr>
          <w:p>
            <w:pPr>
              <w:widowControl/>
              <w:jc w:val="center"/>
              <w:outlineLvl w:val="1"/>
              <w:rPr>
                <w:rFonts w:ascii="仿宋_GB2312" w:hAnsi="宋体" w:eastAsia="仿宋_GB2312"/>
                <w:color w:val="auto"/>
                <w:kern w:val="0"/>
                <w:sz w:val="32"/>
                <w:szCs w:val="32"/>
                <w:highlight w:val="none"/>
              </w:rPr>
            </w:pPr>
          </w:p>
        </w:tc>
        <w:tc>
          <w:tcPr>
            <w:tcW w:w="419" w:type="dxa"/>
            <w:vAlign w:val="top"/>
          </w:tcPr>
          <w:p>
            <w:pPr>
              <w:widowControl/>
              <w:jc w:val="center"/>
              <w:outlineLvl w:val="1"/>
              <w:rPr>
                <w:rFonts w:ascii="仿宋_GB2312" w:hAnsi="宋体" w:eastAsia="仿宋_GB2312"/>
                <w:color w:val="auto"/>
                <w:kern w:val="0"/>
                <w:sz w:val="32"/>
                <w:szCs w:val="32"/>
                <w:highlight w:val="none"/>
              </w:rPr>
            </w:pPr>
          </w:p>
        </w:tc>
        <w:tc>
          <w:tcPr>
            <w:tcW w:w="618" w:type="dxa"/>
            <w:vAlign w:val="top"/>
          </w:tcPr>
          <w:p>
            <w:pPr>
              <w:widowControl/>
              <w:jc w:val="center"/>
              <w:outlineLvl w:val="1"/>
              <w:rPr>
                <w:rFonts w:ascii="仿宋_GB2312" w:hAnsi="宋体" w:eastAsia="仿宋_GB2312"/>
                <w:color w:val="auto"/>
                <w:kern w:val="0"/>
                <w:sz w:val="32"/>
                <w:szCs w:val="32"/>
                <w:highlight w:val="none"/>
              </w:rPr>
            </w:pPr>
          </w:p>
        </w:tc>
        <w:tc>
          <w:tcPr>
            <w:tcW w:w="420" w:type="dxa"/>
            <w:vAlign w:val="top"/>
          </w:tcPr>
          <w:p>
            <w:pPr>
              <w:widowControl/>
              <w:jc w:val="center"/>
              <w:outlineLvl w:val="1"/>
              <w:rPr>
                <w:rFonts w:ascii="仿宋_GB2312" w:hAnsi="宋体" w:eastAsia="仿宋_GB2312"/>
                <w:color w:val="auto"/>
                <w:kern w:val="0"/>
                <w:sz w:val="32"/>
                <w:szCs w:val="32"/>
                <w:highlight w:val="none"/>
              </w:rPr>
            </w:pPr>
          </w:p>
        </w:tc>
        <w:tc>
          <w:tcPr>
            <w:tcW w:w="420" w:type="dxa"/>
            <w:vAlign w:val="top"/>
          </w:tcPr>
          <w:p>
            <w:pPr>
              <w:widowControl/>
              <w:jc w:val="center"/>
              <w:outlineLvl w:val="1"/>
              <w:rPr>
                <w:rFonts w:ascii="仿宋_GB2312" w:hAnsi="宋体" w:eastAsia="仿宋_GB2312"/>
                <w:color w:val="auto"/>
                <w:kern w:val="0"/>
                <w:sz w:val="32"/>
                <w:szCs w:val="32"/>
                <w:highlight w:val="none"/>
              </w:rPr>
            </w:pPr>
          </w:p>
        </w:tc>
        <w:tc>
          <w:tcPr>
            <w:tcW w:w="465" w:type="dxa"/>
            <w:gridSpan w:val="2"/>
            <w:vAlign w:val="top"/>
          </w:tcPr>
          <w:p>
            <w:pPr>
              <w:widowControl/>
              <w:jc w:val="center"/>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p>
        </w:tc>
        <w:tc>
          <w:tcPr>
            <w:tcW w:w="417" w:type="dxa"/>
            <w:vAlign w:val="top"/>
          </w:tcPr>
          <w:p>
            <w:pPr>
              <w:widowControl/>
              <w:jc w:val="both"/>
              <w:outlineLvl w:val="1"/>
              <w:rPr>
                <w:rFonts w:ascii="仿宋_GB2312" w:hAnsi="宋体" w:eastAsia="仿宋_GB2312"/>
                <w:color w:val="auto"/>
                <w:kern w:val="0"/>
                <w:sz w:val="32"/>
                <w:szCs w:val="32"/>
                <w:highlight w:val="none"/>
              </w:rPr>
            </w:pPr>
          </w:p>
        </w:tc>
        <w:tc>
          <w:tcPr>
            <w:tcW w:w="417" w:type="dxa"/>
            <w:vAlign w:val="top"/>
          </w:tcPr>
          <w:p>
            <w:pPr>
              <w:widowControl/>
              <w:jc w:val="both"/>
              <w:outlineLvl w:val="1"/>
              <w:rPr>
                <w:rFonts w:ascii="仿宋_GB2312" w:hAnsi="宋体" w:eastAsia="仿宋_GB2312"/>
                <w:color w:val="auto"/>
                <w:kern w:val="0"/>
                <w:sz w:val="32"/>
                <w:szCs w:val="32"/>
                <w:highlight w:val="none"/>
              </w:rPr>
            </w:pPr>
          </w:p>
        </w:tc>
        <w:tc>
          <w:tcPr>
            <w:tcW w:w="828" w:type="dxa"/>
            <w:vAlign w:val="top"/>
          </w:tcPr>
          <w:p>
            <w:pPr>
              <w:widowControl/>
              <w:jc w:val="both"/>
              <w:outlineLvl w:val="1"/>
              <w:rPr>
                <w:rFonts w:ascii="仿宋_GB2312" w:hAnsi="宋体" w:eastAsia="仿宋_GB2312"/>
                <w:color w:val="auto"/>
                <w:kern w:val="0"/>
                <w:sz w:val="32"/>
                <w:szCs w:val="32"/>
                <w:highlight w:val="none"/>
              </w:rPr>
            </w:pPr>
          </w:p>
        </w:tc>
        <w:tc>
          <w:tcPr>
            <w:tcW w:w="1400" w:type="dxa"/>
            <w:vAlign w:val="top"/>
          </w:tcPr>
          <w:p>
            <w:pPr>
              <w:widowControl/>
              <w:jc w:val="both"/>
              <w:outlineLvl w:val="1"/>
              <w:rPr>
                <w:rFonts w:ascii="仿宋_GB2312" w:hAnsi="宋体" w:eastAsia="仿宋_GB2312"/>
                <w:color w:val="auto"/>
                <w:kern w:val="0"/>
                <w:sz w:val="32"/>
                <w:szCs w:val="32"/>
                <w:highlight w:val="none"/>
              </w:rPr>
            </w:pPr>
          </w:p>
        </w:tc>
        <w:tc>
          <w:tcPr>
            <w:tcW w:w="732" w:type="dxa"/>
            <w:vAlign w:val="top"/>
          </w:tcPr>
          <w:p>
            <w:pPr>
              <w:widowControl/>
              <w:jc w:val="both"/>
              <w:outlineLvl w:val="1"/>
              <w:rPr>
                <w:rFonts w:ascii="仿宋_GB2312" w:hAnsi="宋体" w:eastAsia="仿宋_GB2312"/>
                <w:color w:val="auto"/>
                <w:kern w:val="0"/>
                <w:sz w:val="32"/>
                <w:szCs w:val="32"/>
                <w:highlight w:val="none"/>
              </w:rPr>
            </w:pP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p>
        </w:tc>
        <w:tc>
          <w:tcPr>
            <w:tcW w:w="530" w:type="dxa"/>
            <w:vAlign w:val="top"/>
          </w:tcPr>
          <w:p>
            <w:pPr>
              <w:widowControl/>
              <w:jc w:val="both"/>
              <w:outlineLvl w:val="1"/>
              <w:rPr>
                <w:rFonts w:ascii="仿宋_GB2312" w:hAnsi="宋体" w:eastAsia="仿宋_GB2312"/>
                <w:color w:val="auto"/>
                <w:kern w:val="0"/>
                <w:sz w:val="32"/>
                <w:szCs w:val="32"/>
                <w:highlight w:val="none"/>
              </w:rPr>
            </w:pPr>
          </w:p>
        </w:tc>
        <w:tc>
          <w:tcPr>
            <w:tcW w:w="639" w:type="dxa"/>
            <w:vAlign w:val="top"/>
          </w:tcPr>
          <w:p>
            <w:pPr>
              <w:widowControl/>
              <w:jc w:val="both"/>
              <w:outlineLvl w:val="1"/>
              <w:rPr>
                <w:rFonts w:ascii="仿宋_GB2312" w:hAnsi="宋体" w:eastAsia="仿宋_GB2312"/>
                <w:color w:val="auto"/>
                <w:kern w:val="0"/>
                <w:sz w:val="32"/>
                <w:szCs w:val="32"/>
                <w:highlight w:val="none"/>
              </w:rPr>
            </w:pPr>
          </w:p>
        </w:tc>
        <w:tc>
          <w:tcPr>
            <w:tcW w:w="639" w:type="dxa"/>
            <w:vAlign w:val="top"/>
          </w:tcPr>
          <w:p>
            <w:pPr>
              <w:widowControl/>
              <w:jc w:val="both"/>
              <w:outlineLvl w:val="1"/>
              <w:rPr>
                <w:rFonts w:ascii="仿宋_GB2312" w:hAnsi="宋体" w:eastAsia="仿宋_GB2312"/>
                <w:color w:val="auto"/>
                <w:kern w:val="0"/>
                <w:sz w:val="32"/>
                <w:szCs w:val="32"/>
                <w:highlight w:val="none"/>
              </w:rPr>
            </w:pP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p>
        </w:tc>
        <w:tc>
          <w:tcPr>
            <w:tcW w:w="419" w:type="dxa"/>
            <w:vAlign w:val="top"/>
          </w:tcPr>
          <w:p>
            <w:pPr>
              <w:widowControl/>
              <w:jc w:val="both"/>
              <w:outlineLvl w:val="1"/>
              <w:rPr>
                <w:rFonts w:ascii="仿宋_GB2312" w:hAnsi="宋体" w:eastAsia="仿宋_GB2312"/>
                <w:color w:val="auto"/>
                <w:kern w:val="0"/>
                <w:sz w:val="32"/>
                <w:szCs w:val="32"/>
                <w:highlight w:val="none"/>
              </w:rPr>
            </w:pPr>
          </w:p>
        </w:tc>
        <w:tc>
          <w:tcPr>
            <w:tcW w:w="618" w:type="dxa"/>
            <w:vAlign w:val="top"/>
          </w:tcPr>
          <w:p>
            <w:pPr>
              <w:widowControl/>
              <w:jc w:val="both"/>
              <w:outlineLvl w:val="1"/>
              <w:rPr>
                <w:rFonts w:ascii="仿宋_GB2312" w:hAnsi="宋体" w:eastAsia="仿宋_GB2312"/>
                <w:color w:val="auto"/>
                <w:kern w:val="0"/>
                <w:sz w:val="32"/>
                <w:szCs w:val="32"/>
                <w:highlight w:val="none"/>
              </w:rPr>
            </w:pPr>
          </w:p>
        </w:tc>
        <w:tc>
          <w:tcPr>
            <w:tcW w:w="420" w:type="dxa"/>
            <w:vAlign w:val="top"/>
          </w:tcPr>
          <w:p>
            <w:pPr>
              <w:widowControl/>
              <w:jc w:val="both"/>
              <w:outlineLvl w:val="1"/>
              <w:rPr>
                <w:rFonts w:ascii="仿宋_GB2312" w:hAnsi="宋体" w:eastAsia="仿宋_GB2312"/>
                <w:color w:val="auto"/>
                <w:kern w:val="0"/>
                <w:sz w:val="32"/>
                <w:szCs w:val="32"/>
                <w:highlight w:val="none"/>
              </w:rPr>
            </w:pPr>
          </w:p>
        </w:tc>
        <w:tc>
          <w:tcPr>
            <w:tcW w:w="420" w:type="dxa"/>
            <w:vAlign w:val="top"/>
          </w:tcPr>
          <w:p>
            <w:pPr>
              <w:widowControl/>
              <w:jc w:val="both"/>
              <w:outlineLvl w:val="1"/>
              <w:rPr>
                <w:rFonts w:ascii="仿宋_GB2312" w:hAnsi="宋体" w:eastAsia="仿宋_GB2312"/>
                <w:color w:val="auto"/>
                <w:kern w:val="0"/>
                <w:sz w:val="32"/>
                <w:szCs w:val="32"/>
                <w:highlight w:val="none"/>
              </w:rPr>
            </w:pP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both"/>
              <w:outlineLvl w:val="1"/>
              <w:rPr>
                <w:rFonts w:ascii="仿宋_GB2312" w:hAnsi="宋体" w:eastAsia="仿宋_GB2312"/>
                <w:color w:val="auto"/>
                <w:kern w:val="0"/>
                <w:szCs w:val="21"/>
                <w:highlight w:val="none"/>
              </w:rPr>
            </w:pP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jc w:val="both"/>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4"/>
          <w:szCs w:val="24"/>
          <w:lang w:eastAsia="zh-CN"/>
        </w:rPr>
        <w:t>呼图壁县医疗保障局</w:t>
      </w:r>
      <w:r>
        <w:rPr>
          <w:rFonts w:hint="eastAsia" w:ascii="仿宋_GB2312" w:hAnsi="宋体" w:eastAsia="仿宋_GB2312"/>
          <w:b/>
          <w:kern w:val="0"/>
          <w:sz w:val="24"/>
          <w:szCs w:val="24"/>
          <w:lang w:val="en-US" w:eastAsia="zh-CN"/>
        </w:rPr>
        <w:t>2024年无</w:t>
      </w:r>
      <w:r>
        <w:rPr>
          <w:rFonts w:hint="eastAsia" w:ascii="仿宋_GB2312" w:hAnsi="宋体" w:eastAsia="仿宋_GB2312"/>
          <w:b/>
          <w:kern w:val="0"/>
          <w:sz w:val="24"/>
          <w:szCs w:val="24"/>
          <w:lang w:eastAsia="zh-CN"/>
        </w:rPr>
        <w:t>项目</w:t>
      </w:r>
      <w:r>
        <w:rPr>
          <w:rFonts w:hint="eastAsia" w:ascii="仿宋_GB2312" w:hAnsi="宋体" w:eastAsia="仿宋_GB2312"/>
          <w:b/>
          <w:kern w:val="0"/>
          <w:sz w:val="24"/>
          <w:szCs w:val="24"/>
        </w:rPr>
        <w:t>预算安排，此表为空</w:t>
      </w:r>
      <w:r>
        <w:rPr>
          <w:rFonts w:hint="eastAsia" w:ascii="仿宋_GB2312" w:hAnsi="宋体" w:eastAsia="仿宋_GB2312"/>
          <w:b/>
          <w:color w:val="auto"/>
          <w:kern w:val="0"/>
          <w:sz w:val="28"/>
          <w:szCs w:val="32"/>
          <w:highlight w:val="none"/>
        </w:rPr>
        <w:t>。</w:t>
      </w: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both"/>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jc w:val="both"/>
        <w:outlineLvl w:val="1"/>
        <w:rPr>
          <w:rFonts w:hint="eastAsia" w:ascii="仿宋_GB2312" w:hAnsi="宋体" w:eastAsia="仿宋_GB2312"/>
          <w:b/>
          <w:color w:val="auto"/>
          <w:kern w:val="0"/>
          <w:sz w:val="28"/>
          <w:szCs w:val="32"/>
          <w:highlight w:val="none"/>
        </w:rPr>
      </w:pPr>
    </w:p>
    <w:p>
      <w:pPr>
        <w:widowControl/>
        <w:spacing w:line="280" w:lineRule="exact"/>
        <w:jc w:val="both"/>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4"/>
          <w:szCs w:val="24"/>
          <w:lang w:eastAsia="zh-CN"/>
        </w:rPr>
        <w:t>呼图壁县医疗保障局</w:t>
      </w:r>
      <w:r>
        <w:rPr>
          <w:rFonts w:hint="eastAsia" w:ascii="仿宋_GB2312" w:hAnsi="宋体" w:eastAsia="仿宋_GB2312"/>
          <w:b/>
          <w:kern w:val="0"/>
          <w:sz w:val="24"/>
          <w:szCs w:val="24"/>
          <w:lang w:val="en-US" w:eastAsia="zh-CN"/>
        </w:rPr>
        <w:t>2024年无</w:t>
      </w:r>
      <w:r>
        <w:rPr>
          <w:rFonts w:hint="eastAsia" w:ascii="仿宋_GB2312" w:hAnsi="宋体" w:eastAsia="仿宋_GB2312"/>
          <w:b/>
          <w:kern w:val="0"/>
          <w:sz w:val="24"/>
          <w:szCs w:val="24"/>
        </w:rPr>
        <w:t>政府性基金预算安排，此表为空</w:t>
      </w: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both"/>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jc w:val="both"/>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4"/>
          <w:szCs w:val="24"/>
          <w:lang w:eastAsia="zh-CN"/>
        </w:rPr>
        <w:t>呼图壁县医疗保障局</w:t>
      </w:r>
      <w:r>
        <w:rPr>
          <w:rFonts w:hint="eastAsia" w:ascii="仿宋_GB2312" w:hAnsi="宋体" w:eastAsia="仿宋_GB2312"/>
          <w:b/>
          <w:kern w:val="0"/>
          <w:sz w:val="24"/>
          <w:szCs w:val="24"/>
          <w:lang w:val="en-US" w:eastAsia="zh-CN"/>
        </w:rPr>
        <w:t>2024年无</w:t>
      </w:r>
      <w:r>
        <w:rPr>
          <w:rFonts w:hint="eastAsia" w:ascii="仿宋_GB2312" w:hAnsi="宋体" w:eastAsia="仿宋_GB2312"/>
          <w:b/>
          <w:kern w:val="0"/>
          <w:sz w:val="24"/>
          <w:szCs w:val="24"/>
          <w:lang w:eastAsia="zh-CN"/>
        </w:rPr>
        <w:t>国有资本经营</w:t>
      </w:r>
      <w:r>
        <w:rPr>
          <w:rFonts w:hint="eastAsia" w:ascii="仿宋_GB2312" w:hAnsi="宋体" w:eastAsia="仿宋_GB2312"/>
          <w:b/>
          <w:kern w:val="0"/>
          <w:sz w:val="24"/>
          <w:szCs w:val="24"/>
        </w:rPr>
        <w:t>预算安排，此表为空。</w:t>
      </w:r>
    </w:p>
    <w:p>
      <w:pPr>
        <w:widowControl/>
        <w:spacing w:line="280" w:lineRule="exact"/>
        <w:jc w:val="both"/>
        <w:outlineLvl w:val="1"/>
        <w:rPr>
          <w:rFonts w:ascii="仿宋_GB2312" w:hAnsi="宋体" w:eastAsia="仿宋_GB2312"/>
          <w:color w:val="auto"/>
          <w:kern w:val="0"/>
          <w:sz w:val="32"/>
          <w:szCs w:val="32"/>
          <w:highlight w:val="none"/>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2"/>
        <w:gridCol w:w="1140"/>
        <w:gridCol w:w="1320"/>
        <w:gridCol w:w="1390"/>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2"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140"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331"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2" w:type="dxa"/>
            <w:vMerge w:val="continue"/>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140" w:type="dxa"/>
            <w:vMerge w:val="continue"/>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20"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390"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092"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14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2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90" w:type="dxa"/>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092"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14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2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90"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4092"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14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2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90"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4092"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公务用车购置及运行费（小计）</w:t>
            </w:r>
          </w:p>
        </w:tc>
        <w:tc>
          <w:tcPr>
            <w:tcW w:w="114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2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90"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092" w:type="dxa"/>
            <w:vAlign w:val="top"/>
          </w:tcPr>
          <w:p>
            <w:pPr>
              <w:widowControl/>
              <w:ind w:firstLine="281" w:firstLineChars="100"/>
              <w:jc w:val="both"/>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140" w:type="dxa"/>
            <w:vAlign w:val="center"/>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320" w:type="dxa"/>
            <w:vAlign w:val="center"/>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390"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4092" w:type="dxa"/>
            <w:vAlign w:val="top"/>
          </w:tcPr>
          <w:p>
            <w:pPr>
              <w:widowControl/>
              <w:jc w:val="both"/>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 xml:space="preserve">        </w:t>
            </w:r>
            <w:r>
              <w:rPr>
                <w:rFonts w:hint="eastAsia" w:ascii="仿宋_GB2312" w:hAnsi="宋体" w:eastAsia="仿宋_GB2312"/>
                <w:b/>
                <w:color w:val="auto"/>
                <w:kern w:val="0"/>
                <w:sz w:val="28"/>
                <w:szCs w:val="32"/>
                <w:highlight w:val="none"/>
                <w:vertAlign w:val="baseline"/>
              </w:rPr>
              <w:t>公务用车运行费</w:t>
            </w:r>
          </w:p>
        </w:tc>
        <w:tc>
          <w:tcPr>
            <w:tcW w:w="114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2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90"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r>
    </w:tbl>
    <w:p>
      <w:pPr>
        <w:widowControl/>
        <w:jc w:val="both"/>
        <w:outlineLvl w:val="1"/>
        <w:rPr>
          <w:rFonts w:hint="eastAsia" w:ascii="仿宋_GB2312" w:hAnsi="宋体" w:eastAsia="仿宋_GB2312"/>
          <w:b/>
          <w:color w:val="auto"/>
          <w:kern w:val="0"/>
          <w:sz w:val="28"/>
          <w:szCs w:val="32"/>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55"/>
        <w:gridCol w:w="917"/>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419"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5"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732"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419"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1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419"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1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仿宋" w:hAnsi="仿宋" w:eastAsia="仿宋" w:cs="仿宋_GB2312"/>
                <w:bCs/>
                <w:color w:val="auto"/>
                <w:kern w:val="0"/>
                <w:sz w:val="28"/>
                <w:szCs w:val="28"/>
                <w:highlight w:val="none"/>
              </w:rPr>
            </w:pPr>
            <w:r>
              <w:rPr>
                <w:rFonts w:hint="eastAsia" w:ascii="仿宋_GB2312" w:hAnsi="仿宋_GB2312" w:eastAsia="仿宋_GB2312" w:cs="仿宋_GB2312"/>
                <w:bCs/>
                <w:color w:val="auto"/>
                <w:kern w:val="0"/>
                <w:sz w:val="21"/>
                <w:szCs w:val="21"/>
                <w:highlight w:val="none"/>
              </w:rPr>
              <w:t>昌州财社[2023]33号--昌吉州州级统筹社会保险扩面征收工作经费</w:t>
            </w:r>
          </w:p>
        </w:tc>
        <w:tc>
          <w:tcPr>
            <w:tcW w:w="855" w:type="dxa"/>
            <w:vAlign w:val="center"/>
          </w:tcPr>
          <w:p>
            <w:pPr>
              <w:spacing w:line="600" w:lineRule="exact"/>
              <w:jc w:val="center"/>
              <w:rPr>
                <w:rFonts w:hint="eastAsia" w:ascii="仿宋_GB2312" w:hAnsi="仿宋_GB2312" w:eastAsia="仿宋_GB2312" w:cs="仿宋_GB2312"/>
                <w:bCs/>
                <w:color w:val="auto"/>
                <w:kern w:val="0"/>
                <w:sz w:val="24"/>
                <w:szCs w:val="24"/>
                <w:highlight w:val="none"/>
                <w:lang w:val="en-US" w:eastAsia="zh-CN"/>
              </w:rPr>
            </w:pPr>
            <w:r>
              <w:rPr>
                <w:rFonts w:hint="eastAsia" w:ascii="仿宋_GB2312" w:hAnsi="仿宋_GB2312" w:eastAsia="仿宋_GB2312" w:cs="仿宋_GB2312"/>
                <w:bCs/>
                <w:color w:val="auto"/>
                <w:kern w:val="0"/>
                <w:sz w:val="24"/>
                <w:szCs w:val="24"/>
                <w:highlight w:val="none"/>
                <w:lang w:val="en-US" w:eastAsia="zh-CN"/>
              </w:rPr>
              <w:t>11.25</w:t>
            </w:r>
          </w:p>
        </w:tc>
        <w:tc>
          <w:tcPr>
            <w:tcW w:w="917" w:type="dxa"/>
            <w:vAlign w:val="center"/>
          </w:tcPr>
          <w:p>
            <w:pPr>
              <w:spacing w:line="600" w:lineRule="exact"/>
              <w:jc w:val="center"/>
              <w:rPr>
                <w:rFonts w:hint="eastAsia" w:ascii="仿宋_GB2312" w:hAnsi="仿宋_GB2312" w:eastAsia="仿宋_GB2312" w:cs="仿宋_GB2312"/>
                <w:bCs/>
                <w:color w:val="auto"/>
                <w:kern w:val="0"/>
                <w:sz w:val="24"/>
                <w:szCs w:val="24"/>
                <w:highlight w:val="none"/>
                <w:lang w:val="en-US" w:eastAsia="zh-CN"/>
              </w:rPr>
            </w:pPr>
            <w:r>
              <w:rPr>
                <w:rFonts w:hint="eastAsia" w:ascii="仿宋_GB2312" w:hAnsi="仿宋_GB2312" w:eastAsia="仿宋_GB2312" w:cs="仿宋_GB2312"/>
                <w:bCs/>
                <w:color w:val="auto"/>
                <w:kern w:val="0"/>
                <w:sz w:val="24"/>
                <w:szCs w:val="24"/>
                <w:highlight w:val="none"/>
                <w:lang w:val="en-US" w:eastAsia="zh-CN"/>
              </w:rPr>
              <w:t>11.25</w:t>
            </w:r>
          </w:p>
        </w:tc>
        <w:tc>
          <w:tcPr>
            <w:tcW w:w="890" w:type="dxa"/>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lang w:val="en-US" w:eastAsia="zh-CN"/>
              </w:rPr>
            </w:pPr>
          </w:p>
        </w:tc>
        <w:tc>
          <w:tcPr>
            <w:tcW w:w="714" w:type="dxa"/>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lang w:val="en-US" w:eastAsia="zh-CN"/>
              </w:rPr>
            </w:pPr>
          </w:p>
        </w:tc>
        <w:tc>
          <w:tcPr>
            <w:tcW w:w="1211" w:type="dxa"/>
            <w:vAlign w:val="center"/>
          </w:tcPr>
          <w:p>
            <w:pPr>
              <w:spacing w:line="600" w:lineRule="exact"/>
              <w:jc w:val="center"/>
              <w:rPr>
                <w:rFonts w:hint="eastAsia" w:ascii="仿宋_GB2312" w:hAnsi="仿宋_GB2312" w:eastAsia="仿宋_GB2312" w:cs="仿宋_GB2312"/>
                <w:bCs/>
                <w:color w:val="auto"/>
                <w:kern w:val="0"/>
                <w:sz w:val="24"/>
                <w:szCs w:val="24"/>
                <w:highlight w:val="none"/>
                <w:lang w:val="en-US" w:eastAsia="zh-CN"/>
              </w:rPr>
            </w:pPr>
            <w:r>
              <w:rPr>
                <w:rFonts w:hint="eastAsia" w:ascii="仿宋_GB2312" w:hAnsi="仿宋_GB2312" w:eastAsia="仿宋_GB2312" w:cs="仿宋_GB2312"/>
                <w:bCs/>
                <w:color w:val="auto"/>
                <w:kern w:val="0"/>
                <w:sz w:val="24"/>
                <w:szCs w:val="24"/>
                <w:highlight w:val="none"/>
                <w:lang w:val="en-US" w:eastAsia="zh-CN"/>
              </w:rPr>
              <w:t>11.25</w:t>
            </w:r>
          </w:p>
        </w:tc>
        <w:tc>
          <w:tcPr>
            <w:tcW w:w="797" w:type="dxa"/>
            <w:vAlign w:val="center"/>
          </w:tcPr>
          <w:p>
            <w:pPr>
              <w:spacing w:line="600" w:lineRule="exact"/>
              <w:jc w:val="center"/>
              <w:rPr>
                <w:rFonts w:hint="eastAsia" w:ascii="仿宋_GB2312" w:hAnsi="仿宋_GB2312" w:eastAsia="仿宋_GB2312" w:cs="仿宋_GB2312"/>
                <w:bCs/>
                <w:color w:val="auto"/>
                <w:kern w:val="0"/>
                <w:sz w:val="24"/>
                <w:szCs w:val="24"/>
                <w:highlight w:val="none"/>
              </w:rPr>
            </w:pPr>
          </w:p>
        </w:tc>
        <w:tc>
          <w:tcPr>
            <w:tcW w:w="723" w:type="dxa"/>
            <w:vAlign w:val="center"/>
          </w:tcPr>
          <w:p>
            <w:pPr>
              <w:spacing w:line="600" w:lineRule="exact"/>
              <w:jc w:val="center"/>
              <w:rPr>
                <w:rFonts w:hint="eastAsia" w:ascii="仿宋_GB2312" w:hAnsi="仿宋_GB2312" w:eastAsia="仿宋_GB2312" w:cs="仿宋_GB2312"/>
                <w:bCs/>
                <w:color w:val="auto"/>
                <w:kern w:val="0"/>
                <w:sz w:val="24"/>
                <w:szCs w:val="24"/>
                <w:highlight w:val="none"/>
              </w:rPr>
            </w:pPr>
          </w:p>
        </w:tc>
        <w:tc>
          <w:tcPr>
            <w:tcW w:w="881" w:type="dxa"/>
            <w:vAlign w:val="center"/>
          </w:tcPr>
          <w:p>
            <w:pPr>
              <w:spacing w:line="600" w:lineRule="exact"/>
              <w:jc w:val="center"/>
              <w:rPr>
                <w:rFonts w:hint="eastAsia" w:ascii="仿宋_GB2312" w:hAnsi="仿宋_GB2312" w:eastAsia="仿宋_GB2312" w:cs="仿宋_GB2312"/>
                <w:bCs/>
                <w:color w:val="auto"/>
                <w:kern w:val="0"/>
                <w:sz w:val="24"/>
                <w:szCs w:val="24"/>
                <w:highlight w:val="none"/>
              </w:rPr>
            </w:pPr>
          </w:p>
        </w:tc>
        <w:tc>
          <w:tcPr>
            <w:tcW w:w="1211" w:type="dxa"/>
            <w:vAlign w:val="center"/>
          </w:tcPr>
          <w:p>
            <w:pPr>
              <w:spacing w:line="600" w:lineRule="exact"/>
              <w:jc w:val="center"/>
              <w:rPr>
                <w:rFonts w:hint="eastAsia" w:ascii="仿宋_GB2312" w:hAnsi="仿宋_GB2312" w:eastAsia="仿宋_GB2312" w:cs="仿宋_GB2312"/>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19" w:type="dxa"/>
            <w:vAlign w:val="center"/>
          </w:tcPr>
          <w:p>
            <w:pPr>
              <w:spacing w:line="600" w:lineRule="exact"/>
              <w:jc w:val="center"/>
              <w:rPr>
                <w:rFonts w:ascii="仿宋" w:hAnsi="仿宋" w:eastAsia="仿宋" w:cs="仿宋_GB2312"/>
                <w:bCs/>
                <w:color w:val="auto"/>
                <w:kern w:val="0"/>
                <w:sz w:val="28"/>
                <w:szCs w:val="28"/>
                <w:highlight w:val="none"/>
              </w:rPr>
            </w:pPr>
          </w:p>
        </w:tc>
        <w:tc>
          <w:tcPr>
            <w:tcW w:w="855" w:type="dxa"/>
            <w:vAlign w:val="center"/>
          </w:tcPr>
          <w:p>
            <w:pPr>
              <w:spacing w:line="600" w:lineRule="exact"/>
              <w:jc w:val="center"/>
              <w:rPr>
                <w:rFonts w:ascii="仿宋" w:hAnsi="仿宋" w:eastAsia="仿宋" w:cs="仿宋_GB2312"/>
                <w:bCs/>
                <w:color w:val="auto"/>
                <w:kern w:val="0"/>
                <w:sz w:val="28"/>
                <w:szCs w:val="28"/>
                <w:highlight w:val="none"/>
              </w:rPr>
            </w:pPr>
          </w:p>
        </w:tc>
        <w:tc>
          <w:tcPr>
            <w:tcW w:w="917"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19" w:type="dxa"/>
            <w:vAlign w:val="center"/>
          </w:tcPr>
          <w:p>
            <w:pPr>
              <w:spacing w:line="600" w:lineRule="exact"/>
              <w:jc w:val="both"/>
              <w:rPr>
                <w:rFonts w:ascii="仿宋" w:hAnsi="仿宋" w:eastAsia="仿宋" w:cs="仿宋_GB2312"/>
                <w:bCs/>
                <w:color w:val="auto"/>
                <w:kern w:val="0"/>
                <w:sz w:val="28"/>
                <w:szCs w:val="28"/>
                <w:highlight w:val="none"/>
              </w:rPr>
            </w:pPr>
          </w:p>
        </w:tc>
        <w:tc>
          <w:tcPr>
            <w:tcW w:w="855" w:type="dxa"/>
            <w:vAlign w:val="center"/>
          </w:tcPr>
          <w:p>
            <w:pPr>
              <w:spacing w:line="600" w:lineRule="exact"/>
              <w:jc w:val="both"/>
              <w:rPr>
                <w:rFonts w:ascii="仿宋" w:hAnsi="仿宋" w:eastAsia="仿宋" w:cs="仿宋_GB2312"/>
                <w:bCs/>
                <w:color w:val="auto"/>
                <w:kern w:val="0"/>
                <w:sz w:val="28"/>
                <w:szCs w:val="28"/>
                <w:highlight w:val="none"/>
              </w:rPr>
            </w:pPr>
          </w:p>
        </w:tc>
        <w:tc>
          <w:tcPr>
            <w:tcW w:w="917" w:type="dxa"/>
            <w:vAlign w:val="center"/>
          </w:tcPr>
          <w:p>
            <w:pPr>
              <w:spacing w:line="600" w:lineRule="exact"/>
              <w:jc w:val="both"/>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both"/>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both"/>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both"/>
              <w:rPr>
                <w:rFonts w:ascii="仿宋" w:hAnsi="仿宋" w:eastAsia="仿宋" w:cs="仿宋_GB2312"/>
                <w:bCs/>
                <w:color w:val="auto"/>
                <w:kern w:val="0"/>
                <w:sz w:val="28"/>
                <w:szCs w:val="28"/>
                <w:highlight w:val="none"/>
              </w:rPr>
            </w:pPr>
          </w:p>
        </w:tc>
        <w:tc>
          <w:tcPr>
            <w:tcW w:w="797" w:type="dxa"/>
            <w:vAlign w:val="center"/>
          </w:tcPr>
          <w:p>
            <w:pPr>
              <w:spacing w:line="600" w:lineRule="exact"/>
              <w:jc w:val="both"/>
              <w:rPr>
                <w:rFonts w:ascii="仿宋" w:hAnsi="仿宋" w:eastAsia="仿宋" w:cs="仿宋_GB2312"/>
                <w:bCs/>
                <w:color w:val="auto"/>
                <w:kern w:val="0"/>
                <w:sz w:val="28"/>
                <w:szCs w:val="28"/>
                <w:highlight w:val="none"/>
              </w:rPr>
            </w:pPr>
          </w:p>
        </w:tc>
        <w:tc>
          <w:tcPr>
            <w:tcW w:w="723" w:type="dxa"/>
            <w:vAlign w:val="center"/>
          </w:tcPr>
          <w:p>
            <w:pPr>
              <w:spacing w:line="600" w:lineRule="exact"/>
              <w:jc w:val="both"/>
              <w:rPr>
                <w:rFonts w:ascii="仿宋" w:hAnsi="仿宋" w:eastAsia="仿宋" w:cs="仿宋_GB2312"/>
                <w:bCs/>
                <w:color w:val="auto"/>
                <w:kern w:val="0"/>
                <w:sz w:val="28"/>
                <w:szCs w:val="28"/>
                <w:highlight w:val="none"/>
              </w:rPr>
            </w:pPr>
          </w:p>
        </w:tc>
        <w:tc>
          <w:tcPr>
            <w:tcW w:w="881" w:type="dxa"/>
            <w:vAlign w:val="center"/>
          </w:tcPr>
          <w:p>
            <w:pPr>
              <w:spacing w:line="600" w:lineRule="exact"/>
              <w:jc w:val="both"/>
              <w:rPr>
                <w:rFonts w:ascii="仿宋" w:hAnsi="仿宋" w:eastAsia="仿宋" w:cs="仿宋_GB2312"/>
                <w:bCs/>
                <w:color w:val="auto"/>
                <w:kern w:val="0"/>
                <w:sz w:val="28"/>
                <w:szCs w:val="28"/>
                <w:highlight w:val="none"/>
              </w:rPr>
            </w:pPr>
          </w:p>
        </w:tc>
        <w:tc>
          <w:tcPr>
            <w:tcW w:w="1211" w:type="dxa"/>
            <w:vAlign w:val="center"/>
          </w:tcPr>
          <w:p>
            <w:pPr>
              <w:spacing w:line="600" w:lineRule="exact"/>
              <w:jc w:val="both"/>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419" w:type="dxa"/>
            <w:vAlign w:val="center"/>
          </w:tcPr>
          <w:p>
            <w:pPr>
              <w:spacing w:line="600" w:lineRule="exact"/>
              <w:jc w:val="both"/>
              <w:rPr>
                <w:rFonts w:ascii="仿宋" w:hAnsi="仿宋" w:eastAsia="仿宋" w:cs="仿宋_GB2312"/>
                <w:bCs/>
                <w:color w:val="auto"/>
                <w:kern w:val="0"/>
                <w:sz w:val="28"/>
                <w:szCs w:val="28"/>
                <w:highlight w:val="none"/>
              </w:rPr>
            </w:pPr>
          </w:p>
        </w:tc>
        <w:tc>
          <w:tcPr>
            <w:tcW w:w="855" w:type="dxa"/>
            <w:vAlign w:val="center"/>
          </w:tcPr>
          <w:p>
            <w:pPr>
              <w:spacing w:line="600" w:lineRule="exact"/>
              <w:jc w:val="both"/>
              <w:rPr>
                <w:rFonts w:ascii="仿宋" w:hAnsi="仿宋" w:eastAsia="仿宋" w:cs="仿宋_GB2312"/>
                <w:bCs/>
                <w:color w:val="auto"/>
                <w:kern w:val="0"/>
                <w:sz w:val="28"/>
                <w:szCs w:val="28"/>
                <w:highlight w:val="none"/>
              </w:rPr>
            </w:pPr>
          </w:p>
        </w:tc>
        <w:tc>
          <w:tcPr>
            <w:tcW w:w="917" w:type="dxa"/>
            <w:vAlign w:val="center"/>
          </w:tcPr>
          <w:p>
            <w:pPr>
              <w:spacing w:line="600" w:lineRule="exact"/>
              <w:jc w:val="both"/>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both"/>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both"/>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both"/>
              <w:rPr>
                <w:rFonts w:ascii="仿宋" w:hAnsi="仿宋" w:eastAsia="仿宋" w:cs="仿宋_GB2312"/>
                <w:bCs/>
                <w:color w:val="auto"/>
                <w:kern w:val="0"/>
                <w:sz w:val="28"/>
                <w:szCs w:val="28"/>
                <w:highlight w:val="none"/>
              </w:rPr>
            </w:pPr>
          </w:p>
        </w:tc>
        <w:tc>
          <w:tcPr>
            <w:tcW w:w="797" w:type="dxa"/>
            <w:vAlign w:val="center"/>
          </w:tcPr>
          <w:p>
            <w:pPr>
              <w:spacing w:line="600" w:lineRule="exact"/>
              <w:jc w:val="both"/>
              <w:rPr>
                <w:rFonts w:ascii="仿宋" w:hAnsi="仿宋" w:eastAsia="仿宋" w:cs="仿宋_GB2312"/>
                <w:bCs/>
                <w:color w:val="auto"/>
                <w:kern w:val="0"/>
                <w:sz w:val="28"/>
                <w:szCs w:val="28"/>
                <w:highlight w:val="none"/>
              </w:rPr>
            </w:pPr>
          </w:p>
        </w:tc>
        <w:tc>
          <w:tcPr>
            <w:tcW w:w="723" w:type="dxa"/>
            <w:vAlign w:val="center"/>
          </w:tcPr>
          <w:p>
            <w:pPr>
              <w:spacing w:line="600" w:lineRule="exact"/>
              <w:jc w:val="both"/>
              <w:rPr>
                <w:rFonts w:ascii="仿宋" w:hAnsi="仿宋" w:eastAsia="仿宋" w:cs="仿宋_GB2312"/>
                <w:bCs/>
                <w:color w:val="auto"/>
                <w:kern w:val="0"/>
                <w:sz w:val="28"/>
                <w:szCs w:val="28"/>
                <w:highlight w:val="none"/>
              </w:rPr>
            </w:pPr>
          </w:p>
        </w:tc>
        <w:tc>
          <w:tcPr>
            <w:tcW w:w="881" w:type="dxa"/>
            <w:vAlign w:val="center"/>
          </w:tcPr>
          <w:p>
            <w:pPr>
              <w:spacing w:line="600" w:lineRule="exact"/>
              <w:jc w:val="both"/>
              <w:rPr>
                <w:rFonts w:ascii="仿宋" w:hAnsi="仿宋" w:eastAsia="仿宋" w:cs="仿宋_GB2312"/>
                <w:bCs/>
                <w:color w:val="auto"/>
                <w:kern w:val="0"/>
                <w:sz w:val="28"/>
                <w:szCs w:val="28"/>
                <w:highlight w:val="none"/>
              </w:rPr>
            </w:pPr>
          </w:p>
        </w:tc>
        <w:tc>
          <w:tcPr>
            <w:tcW w:w="1211" w:type="dxa"/>
            <w:vAlign w:val="center"/>
          </w:tcPr>
          <w:p>
            <w:pPr>
              <w:spacing w:line="600" w:lineRule="exact"/>
              <w:jc w:val="both"/>
              <w:rPr>
                <w:rFonts w:ascii="仿宋" w:hAnsi="仿宋" w:eastAsia="仿宋" w:cs="仿宋_GB2312"/>
                <w:bCs/>
                <w:color w:val="auto"/>
                <w:kern w:val="0"/>
                <w:sz w:val="28"/>
                <w:szCs w:val="28"/>
                <w:highlight w:val="none"/>
              </w:rPr>
            </w:pPr>
          </w:p>
        </w:tc>
      </w:tr>
    </w:tbl>
    <w:p>
      <w:pPr>
        <w:widowControl/>
        <w:spacing w:line="280" w:lineRule="exact"/>
        <w:jc w:val="both"/>
        <w:outlineLvl w:val="1"/>
        <w:rPr>
          <w:rFonts w:ascii="仿宋_GB2312" w:hAnsi="宋体" w:eastAsia="仿宋_GB2312"/>
          <w:color w:val="auto"/>
          <w:kern w:val="0"/>
          <w:sz w:val="32"/>
          <w:szCs w:val="32"/>
          <w:highlight w:val="none"/>
        </w:rPr>
      </w:pPr>
    </w:p>
    <w:p>
      <w:pPr>
        <w:widowControl/>
        <w:spacing w:line="280" w:lineRule="exact"/>
        <w:jc w:val="both"/>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2024年单位</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呼图壁县医疗保障局2024年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呼图壁县医疗保障局2024年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单位</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527.32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350.57万元、</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165.5万元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11.25万元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84.75万元</w:t>
      </w:r>
      <w:r>
        <w:rPr>
          <w:rFonts w:hint="eastAsia" w:ascii="仿宋_GB2312" w:hAnsi="宋体" w:eastAsia="仿宋_GB2312" w:cs="宋体"/>
          <w:kern w:val="0"/>
          <w:sz w:val="32"/>
          <w:szCs w:val="32"/>
        </w:rPr>
        <w:t>、卫生健康支出</w:t>
      </w:r>
      <w:r>
        <w:rPr>
          <w:rFonts w:hint="eastAsia" w:ascii="仿宋_GB2312" w:hAnsi="宋体" w:eastAsia="仿宋_GB2312" w:cs="宋体"/>
          <w:kern w:val="0"/>
          <w:sz w:val="32"/>
          <w:szCs w:val="32"/>
          <w:lang w:val="en-US" w:eastAsia="zh-CN"/>
        </w:rPr>
        <w:t>375.41万元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67.16万元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呼图壁县医疗保障局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527.32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350.57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66.48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69.24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24.61%，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呼图壁县医疗保障局在职人员增加</w:t>
      </w:r>
      <w:r>
        <w:rPr>
          <w:rFonts w:hint="eastAsia" w:ascii="仿宋_GB2312" w:hAnsi="宋体" w:eastAsia="仿宋_GB2312" w:cs="宋体"/>
          <w:kern w:val="0"/>
          <w:sz w:val="32"/>
          <w:szCs w:val="32"/>
          <w:lang w:val="en-US" w:eastAsia="zh-CN"/>
        </w:rPr>
        <w:t>1人，全体在职人员基础性绩效资金增加</w:t>
      </w:r>
      <w:r>
        <w:rPr>
          <w:rFonts w:hint="eastAsia" w:ascii="仿宋_GB2312" w:hAnsi="宋体" w:eastAsia="仿宋_GB2312" w:cs="宋体"/>
          <w:kern w:val="0"/>
          <w:sz w:val="32"/>
          <w:szCs w:val="32"/>
          <w:lang w:eastAsia="zh-CN"/>
        </w:rPr>
        <w:t>，其社保公积金缴费有所增加；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165.5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31.39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99.63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151.25%，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单位基本户所有资金往来支出全部计划纳入财政平台管理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11.25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11.25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2023年项目资金下达后未全部支付，结转至下年进行支付</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呼图壁县医疗保障局2024年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527.32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516.07</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97.87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237.74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85.42 %，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呼图壁县医疗保障局在职人员增加</w:t>
      </w:r>
      <w:r>
        <w:rPr>
          <w:rFonts w:hint="eastAsia" w:ascii="仿宋_GB2312" w:hAnsi="宋体" w:eastAsia="仿宋_GB2312" w:cs="宋体"/>
          <w:kern w:val="0"/>
          <w:sz w:val="32"/>
          <w:szCs w:val="32"/>
          <w:lang w:val="en-US" w:eastAsia="zh-CN"/>
        </w:rPr>
        <w:t>1人，全体在职人员基础性绩效资金增加</w:t>
      </w:r>
      <w:r>
        <w:rPr>
          <w:rFonts w:hint="eastAsia" w:ascii="仿宋_GB2312" w:hAnsi="宋体" w:eastAsia="仿宋_GB2312" w:cs="宋体"/>
          <w:kern w:val="0"/>
          <w:sz w:val="32"/>
          <w:szCs w:val="32"/>
          <w:lang w:eastAsia="zh-CN"/>
        </w:rPr>
        <w:t>，其社保公积金缴费有所增加；</w:t>
      </w:r>
      <w:r>
        <w:rPr>
          <w:rFonts w:hint="eastAsia" w:ascii="仿宋_GB2312" w:hAnsi="宋体" w:eastAsia="仿宋_GB2312" w:cs="宋体"/>
          <w:color w:val="auto"/>
          <w:kern w:val="0"/>
          <w:sz w:val="32"/>
          <w:szCs w:val="32"/>
          <w:highlight w:val="none"/>
          <w:lang w:eastAsia="zh-CN"/>
        </w:rPr>
        <w:t>单位基本户所有资金往来支出全部计划纳入财政平台管理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11.25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57.62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83.66%，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2024年离退休人员的医疗周转金转入基本预算支出；单位资金转入基本支出预算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350.57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350.57</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rPr>
        <w:t>社会保障和就业支出</w:t>
      </w:r>
      <w:r>
        <w:rPr>
          <w:rFonts w:hint="eastAsia" w:ascii="仿宋_GB2312" w:hAnsi="仿宋_GB2312" w:eastAsia="仿宋_GB2312" w:cs="仿宋_GB2312"/>
          <w:sz w:val="32"/>
          <w:szCs w:val="32"/>
          <w:lang w:val="en-US" w:eastAsia="zh-CN"/>
        </w:rPr>
        <w:t>34.75</w:t>
      </w:r>
      <w:r>
        <w:rPr>
          <w:rFonts w:hint="eastAsia" w:ascii="仿宋_GB2312" w:hAnsi="仿宋_GB2312" w:eastAsia="仿宋_GB2312" w:cs="仿宋_GB2312"/>
          <w:sz w:val="32"/>
          <w:szCs w:val="32"/>
        </w:rPr>
        <w:t>万元，</w:t>
      </w:r>
      <w:r>
        <w:rPr>
          <w:rFonts w:hint="eastAsia" w:ascii="仿宋_GB2312" w:hAnsi="宋体" w:eastAsia="仿宋_GB2312" w:cs="宋体"/>
          <w:kern w:val="0"/>
          <w:sz w:val="32"/>
          <w:szCs w:val="32"/>
        </w:rPr>
        <w:t>主要用于单位职工社会保险缴费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医疗卫生健康支出</w:t>
      </w:r>
      <w:r>
        <w:rPr>
          <w:rFonts w:hint="eastAsia" w:ascii="仿宋_GB2312" w:hAnsi="仿宋_GB2312" w:eastAsia="仿宋_GB2312" w:cs="仿宋_GB2312"/>
          <w:sz w:val="32"/>
          <w:szCs w:val="32"/>
          <w:lang w:val="en-US" w:eastAsia="zh-CN"/>
        </w:rPr>
        <w:t>288.66</w:t>
      </w:r>
      <w:r>
        <w:rPr>
          <w:rFonts w:hint="eastAsia" w:ascii="仿宋_GB2312" w:hAnsi="宋体" w:eastAsia="仿宋_GB2312" w:cs="宋体"/>
          <w:kern w:val="0"/>
          <w:sz w:val="32"/>
          <w:szCs w:val="32"/>
        </w:rPr>
        <w:t>万元，主要用于支付人员经费及办公经费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27.16</w:t>
      </w:r>
      <w:r>
        <w:rPr>
          <w:rFonts w:hint="eastAsia" w:ascii="仿宋_GB2312" w:hAnsi="宋体" w:eastAsia="仿宋_GB2312" w:cs="宋体"/>
          <w:kern w:val="0"/>
          <w:sz w:val="32"/>
          <w:szCs w:val="32"/>
        </w:rPr>
        <w:t>万元，主要用于人员住房公积金支出。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呼图壁县医疗保障局2024年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350.57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350.57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宋体" w:eastAsia="仿宋_GB2312" w:cs="宋体"/>
          <w:color w:val="auto"/>
          <w:kern w:val="0"/>
          <w:sz w:val="32"/>
          <w:szCs w:val="32"/>
          <w:highlight w:val="none"/>
          <w:lang w:val="en-US" w:eastAsia="zh-CN"/>
        </w:rPr>
        <w:t>72.24</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25.95%，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呼图壁县医疗保障局在职人员增加</w:t>
      </w:r>
      <w:r>
        <w:rPr>
          <w:rFonts w:hint="eastAsia" w:ascii="仿宋_GB2312" w:hAnsi="宋体" w:eastAsia="仿宋_GB2312" w:cs="宋体"/>
          <w:kern w:val="0"/>
          <w:sz w:val="32"/>
          <w:szCs w:val="32"/>
          <w:lang w:val="en-US" w:eastAsia="zh-CN"/>
        </w:rPr>
        <w:t>1人，全体在职人员基础性绩效资金增加</w:t>
      </w:r>
      <w:r>
        <w:rPr>
          <w:rFonts w:hint="eastAsia" w:ascii="仿宋_GB2312" w:hAnsi="宋体" w:eastAsia="仿宋_GB2312" w:cs="宋体"/>
          <w:kern w:val="0"/>
          <w:sz w:val="32"/>
          <w:szCs w:val="32"/>
          <w:lang w:eastAsia="zh-CN"/>
        </w:rPr>
        <w:t>，其社保公积金缴费有所增加；</w:t>
      </w:r>
      <w:r>
        <w:rPr>
          <w:rFonts w:hint="eastAsia" w:ascii="仿宋_GB2312" w:hAnsi="宋体" w:eastAsia="仿宋_GB2312" w:cs="宋体"/>
          <w:kern w:val="0"/>
          <w:sz w:val="32"/>
          <w:szCs w:val="32"/>
          <w:lang w:val="en-US" w:eastAsia="zh-CN"/>
        </w:rPr>
        <w:t>2024年离退休人员的医疗周转金转入一般公共预算基本支出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项目支出</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2024年离退休人员的医疗周转金转入一般公共预算基本支出</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w:t>
      </w:r>
      <w:r>
        <w:rPr>
          <w:rFonts w:hint="eastAsia" w:ascii="仿宋_GB2312" w:hAnsi="仿宋_GB2312" w:eastAsia="仿宋_GB2312" w:cs="仿宋_GB2312"/>
          <w:sz w:val="32"/>
          <w:szCs w:val="32"/>
          <w:lang w:val="en-US" w:eastAsia="zh-CN"/>
        </w:rPr>
        <w:t>34.75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9.91</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w:t>
      </w:r>
      <w:r>
        <w:rPr>
          <w:rFonts w:hint="eastAsia" w:ascii="仿宋_GB2312" w:hAnsi="仿宋_GB2312" w:eastAsia="仿宋_GB2312" w:cs="仿宋_GB2312"/>
          <w:sz w:val="32"/>
          <w:szCs w:val="32"/>
          <w:lang w:val="en-US" w:eastAsia="zh-CN"/>
        </w:rPr>
        <w:t>288.66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82.34%</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住房保障支出（类）</w:t>
      </w:r>
      <w:r>
        <w:rPr>
          <w:rFonts w:hint="eastAsia" w:ascii="仿宋_GB2312" w:hAnsi="仿宋_GB2312" w:eastAsia="仿宋_GB2312" w:cs="仿宋_GB2312"/>
          <w:sz w:val="32"/>
          <w:szCs w:val="32"/>
          <w:lang w:val="en-US" w:eastAsia="zh-CN"/>
        </w:rPr>
        <w:t>27.16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7.75</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1.社会保障和就业支出（</w:t>
      </w:r>
      <w:r>
        <w:rPr>
          <w:rFonts w:hint="eastAsia" w:ascii="仿宋_GB2312" w:hAnsi="仿宋_GB2312" w:eastAsia="仿宋_GB2312" w:cs="仿宋_GB2312"/>
          <w:kern w:val="0"/>
          <w:sz w:val="32"/>
          <w:szCs w:val="32"/>
          <w:lang w:val="en-US" w:eastAsia="zh-CN"/>
        </w:rPr>
        <w:t>208</w:t>
      </w:r>
      <w:r>
        <w:rPr>
          <w:rFonts w:hint="eastAsia" w:ascii="仿宋_GB2312" w:hAnsi="仿宋_GB2312" w:eastAsia="仿宋_GB2312" w:cs="仿宋_GB2312"/>
          <w:kern w:val="0"/>
          <w:sz w:val="32"/>
          <w:szCs w:val="32"/>
        </w:rPr>
        <w:t>类）行政事业单位养老支出（</w:t>
      </w:r>
      <w:r>
        <w:rPr>
          <w:rFonts w:hint="eastAsia" w:ascii="仿宋_GB2312" w:hAnsi="仿宋_GB2312" w:eastAsia="仿宋_GB2312" w:cs="仿宋_GB2312"/>
          <w:kern w:val="0"/>
          <w:sz w:val="32"/>
          <w:szCs w:val="32"/>
          <w:lang w:val="en-US" w:eastAsia="zh-CN"/>
        </w:rPr>
        <w:t>05</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eastAsia="zh-CN"/>
        </w:rPr>
        <w:t>事业单位离退休</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02</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:2024年预算数为1.86</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1.86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 xml:space="preserve"> %，主要原因是：</w:t>
      </w:r>
      <w:r>
        <w:rPr>
          <w:rFonts w:hint="eastAsia" w:ascii="仿宋_GB2312" w:hAnsi="宋体" w:eastAsia="仿宋_GB2312" w:cs="宋体"/>
          <w:kern w:val="0"/>
          <w:sz w:val="32"/>
          <w:szCs w:val="32"/>
          <w:lang w:eastAsia="zh-CN"/>
        </w:rPr>
        <w:t>呼图壁县医疗保障局退休人员</w:t>
      </w:r>
      <w:r>
        <w:rPr>
          <w:rFonts w:hint="eastAsia" w:ascii="仿宋_GB2312" w:hAnsi="宋体" w:eastAsia="仿宋_GB2312" w:cs="宋体"/>
          <w:kern w:val="0"/>
          <w:sz w:val="32"/>
          <w:szCs w:val="32"/>
          <w:lang w:val="en-US" w:eastAsia="zh-CN"/>
        </w:rPr>
        <w:t>2人</w:t>
      </w:r>
      <w:r>
        <w:rPr>
          <w:rFonts w:hint="eastAsia" w:ascii="仿宋_GB2312" w:hAnsi="宋体" w:eastAsia="仿宋_GB2312" w:cs="宋体"/>
          <w:kern w:val="0"/>
          <w:sz w:val="32"/>
          <w:szCs w:val="32"/>
          <w:lang w:eastAsia="zh-CN"/>
        </w:rPr>
        <w:t>，其退休人员的取暖补贴、医保等统一纳入事业单位离退休科目核算</w:t>
      </w:r>
      <w:r>
        <w:rPr>
          <w:rFonts w:hint="eastAsia" w:ascii="仿宋_GB2312" w:hAnsi="仿宋_GB2312" w:eastAsia="仿宋_GB2312" w:cs="仿宋_GB2312"/>
          <w:kern w:val="0"/>
          <w:sz w:val="32"/>
          <w:szCs w:val="32"/>
        </w:rPr>
        <w:t xml:space="preserve">。     </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社会保障和就业支出（</w:t>
      </w:r>
      <w:r>
        <w:rPr>
          <w:rFonts w:hint="eastAsia" w:ascii="仿宋_GB2312" w:hAnsi="仿宋_GB2312" w:eastAsia="仿宋_GB2312" w:cs="仿宋_GB2312"/>
          <w:kern w:val="0"/>
          <w:sz w:val="32"/>
          <w:szCs w:val="32"/>
          <w:lang w:val="en-US" w:eastAsia="zh-CN"/>
        </w:rPr>
        <w:t>208</w:t>
      </w:r>
      <w:r>
        <w:rPr>
          <w:rFonts w:hint="eastAsia" w:ascii="仿宋_GB2312" w:hAnsi="仿宋_GB2312" w:eastAsia="仿宋_GB2312" w:cs="仿宋_GB2312"/>
          <w:kern w:val="0"/>
          <w:sz w:val="32"/>
          <w:szCs w:val="32"/>
        </w:rPr>
        <w:t>类）行政事业单位养老支出（</w:t>
      </w:r>
      <w:r>
        <w:rPr>
          <w:rFonts w:hint="eastAsia" w:ascii="仿宋_GB2312" w:hAnsi="仿宋_GB2312" w:eastAsia="仿宋_GB2312" w:cs="仿宋_GB2312"/>
          <w:kern w:val="0"/>
          <w:sz w:val="32"/>
          <w:szCs w:val="32"/>
          <w:lang w:val="en-US" w:eastAsia="zh-CN"/>
        </w:rPr>
        <w:t>05</w:t>
      </w:r>
      <w:r>
        <w:rPr>
          <w:rFonts w:hint="eastAsia" w:ascii="仿宋_GB2312" w:hAnsi="仿宋_GB2312" w:eastAsia="仿宋_GB2312" w:cs="仿宋_GB2312"/>
          <w:kern w:val="0"/>
          <w:sz w:val="32"/>
          <w:szCs w:val="32"/>
        </w:rPr>
        <w:t>款）机关事业单位基本养老保险缴费支出（</w:t>
      </w:r>
      <w:r>
        <w:rPr>
          <w:rFonts w:hint="eastAsia" w:ascii="仿宋_GB2312" w:hAnsi="仿宋_GB2312" w:eastAsia="仿宋_GB2312" w:cs="仿宋_GB2312"/>
          <w:kern w:val="0"/>
          <w:sz w:val="32"/>
          <w:szCs w:val="32"/>
          <w:lang w:val="en-US" w:eastAsia="zh-CN"/>
        </w:rPr>
        <w:t>05</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:2024年预算数为32.89</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6.74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25.77</w:t>
      </w:r>
      <w:r>
        <w:rPr>
          <w:rFonts w:hint="eastAsia" w:ascii="仿宋_GB2312" w:hAnsi="仿宋_GB2312" w:eastAsia="仿宋_GB2312" w:cs="仿宋_GB2312"/>
          <w:kern w:val="0"/>
          <w:sz w:val="32"/>
          <w:szCs w:val="32"/>
        </w:rPr>
        <w:t xml:space="preserve"> %，主要原因是：</w:t>
      </w:r>
      <w:r>
        <w:rPr>
          <w:rFonts w:hint="eastAsia" w:ascii="仿宋_GB2312" w:hAnsi="宋体" w:eastAsia="仿宋_GB2312" w:cs="宋体"/>
          <w:kern w:val="0"/>
          <w:sz w:val="32"/>
          <w:szCs w:val="32"/>
          <w:lang w:eastAsia="zh-CN"/>
        </w:rPr>
        <w:t>呼图壁县医疗保障局在职人员增加</w:t>
      </w:r>
      <w:r>
        <w:rPr>
          <w:rFonts w:hint="eastAsia" w:ascii="仿宋_GB2312" w:hAnsi="宋体" w:eastAsia="仿宋_GB2312" w:cs="宋体"/>
          <w:kern w:val="0"/>
          <w:sz w:val="32"/>
          <w:szCs w:val="32"/>
          <w:lang w:val="en-US" w:eastAsia="zh-CN"/>
        </w:rPr>
        <w:t>1人，基础性绩效奖励增加</w:t>
      </w:r>
      <w:r>
        <w:rPr>
          <w:rFonts w:hint="eastAsia" w:ascii="仿宋_GB2312" w:hAnsi="宋体" w:eastAsia="仿宋_GB2312" w:cs="宋体"/>
          <w:kern w:val="0"/>
          <w:sz w:val="32"/>
          <w:szCs w:val="32"/>
          <w:lang w:eastAsia="zh-CN"/>
        </w:rPr>
        <w:t>，其社保公积金缴费有所增加</w:t>
      </w:r>
      <w:r>
        <w:rPr>
          <w:rFonts w:hint="eastAsia" w:ascii="仿宋_GB2312" w:hAnsi="仿宋_GB2312" w:eastAsia="仿宋_GB2312" w:cs="仿宋_GB2312"/>
          <w:kern w:val="0"/>
          <w:sz w:val="32"/>
          <w:szCs w:val="32"/>
        </w:rPr>
        <w:t xml:space="preserve">。     </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.卫生健康支出（</w:t>
      </w:r>
      <w:r>
        <w:rPr>
          <w:rFonts w:hint="eastAsia" w:ascii="仿宋_GB2312" w:hAnsi="仿宋_GB2312" w:eastAsia="仿宋_GB2312" w:cs="仿宋_GB2312"/>
          <w:kern w:val="0"/>
          <w:sz w:val="32"/>
          <w:szCs w:val="32"/>
          <w:lang w:val="en-US" w:eastAsia="zh-CN"/>
        </w:rPr>
        <w:t>210</w:t>
      </w:r>
      <w:r>
        <w:rPr>
          <w:rFonts w:hint="eastAsia" w:ascii="仿宋_GB2312" w:hAnsi="仿宋_GB2312" w:eastAsia="仿宋_GB2312" w:cs="仿宋_GB2312"/>
          <w:kern w:val="0"/>
          <w:sz w:val="32"/>
          <w:szCs w:val="32"/>
        </w:rPr>
        <w:t>类）行政事业单位医疗（</w:t>
      </w: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款）行政单位医疗（</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:2024年预算数为6.31</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10.46</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62.37</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2024年事业人员医疗费用转入事业单位医疗科目核算；2024年离休人员减少，医疗周转金减少</w:t>
      </w:r>
      <w:r>
        <w:rPr>
          <w:rFonts w:hint="eastAsia" w:ascii="仿宋_GB2312" w:hAnsi="仿宋_GB2312" w:eastAsia="仿宋_GB2312" w:cs="仿宋_GB2312"/>
          <w:kern w:val="0"/>
          <w:sz w:val="32"/>
          <w:szCs w:val="32"/>
        </w:rPr>
        <w:t>。</w:t>
      </w:r>
    </w:p>
    <w:p>
      <w:pPr>
        <w:spacing w:line="560" w:lineRule="exact"/>
        <w:ind w:firstLine="640" w:firstLineChars="200"/>
        <w:rPr>
          <w:rFonts w:hint="eastAsia"/>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卫生健康支出（</w:t>
      </w:r>
      <w:r>
        <w:rPr>
          <w:rFonts w:hint="eastAsia" w:ascii="仿宋_GB2312" w:hAnsi="仿宋_GB2312" w:eastAsia="仿宋_GB2312" w:cs="仿宋_GB2312"/>
          <w:kern w:val="0"/>
          <w:sz w:val="32"/>
          <w:szCs w:val="32"/>
          <w:lang w:val="en-US" w:eastAsia="zh-CN"/>
        </w:rPr>
        <w:t>210</w:t>
      </w:r>
      <w:r>
        <w:rPr>
          <w:rFonts w:hint="eastAsia" w:ascii="仿宋_GB2312" w:hAnsi="仿宋_GB2312" w:eastAsia="仿宋_GB2312" w:cs="仿宋_GB2312"/>
          <w:kern w:val="0"/>
          <w:sz w:val="32"/>
          <w:szCs w:val="32"/>
        </w:rPr>
        <w:t>类）行政事业单位医疗（</w:t>
      </w: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eastAsia="zh-CN"/>
        </w:rPr>
        <w:t>事业</w:t>
      </w:r>
      <w:r>
        <w:rPr>
          <w:rFonts w:hint="eastAsia" w:ascii="仿宋_GB2312" w:hAnsi="仿宋_GB2312" w:eastAsia="仿宋_GB2312" w:cs="仿宋_GB2312"/>
          <w:kern w:val="0"/>
          <w:sz w:val="32"/>
          <w:szCs w:val="32"/>
        </w:rPr>
        <w:t>单位医疗（</w:t>
      </w:r>
      <w:r>
        <w:rPr>
          <w:rFonts w:hint="eastAsia" w:ascii="仿宋_GB2312" w:hAnsi="仿宋_GB2312" w:eastAsia="仿宋_GB2312" w:cs="仿宋_GB2312"/>
          <w:kern w:val="0"/>
          <w:sz w:val="32"/>
          <w:szCs w:val="32"/>
          <w:lang w:val="en-US" w:eastAsia="zh-CN"/>
        </w:rPr>
        <w:t>02</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:2024年预算数为11.95</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11.95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2024年事业人员医疗费用转入事业单位医疗科目核算</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.卫生健康支出（</w:t>
      </w:r>
      <w:r>
        <w:rPr>
          <w:rFonts w:hint="eastAsia" w:ascii="仿宋_GB2312" w:hAnsi="仿宋_GB2312" w:eastAsia="仿宋_GB2312" w:cs="仿宋_GB2312"/>
          <w:kern w:val="0"/>
          <w:sz w:val="32"/>
          <w:szCs w:val="32"/>
          <w:lang w:val="en-US" w:eastAsia="zh-CN"/>
        </w:rPr>
        <w:t>210</w:t>
      </w:r>
      <w:r>
        <w:rPr>
          <w:rFonts w:hint="eastAsia" w:ascii="仿宋_GB2312" w:hAnsi="仿宋_GB2312" w:eastAsia="仿宋_GB2312" w:cs="仿宋_GB2312"/>
          <w:kern w:val="0"/>
          <w:sz w:val="32"/>
          <w:szCs w:val="32"/>
        </w:rPr>
        <w:t>类）行政事业单位医疗（</w:t>
      </w: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款）公务员医疗补助（</w:t>
      </w:r>
      <w:r>
        <w:rPr>
          <w:rFonts w:hint="eastAsia" w:ascii="仿宋_GB2312" w:hAnsi="仿宋_GB2312" w:eastAsia="仿宋_GB2312" w:cs="仿宋_GB2312"/>
          <w:kern w:val="0"/>
          <w:sz w:val="32"/>
          <w:szCs w:val="32"/>
          <w:lang w:val="en-US" w:eastAsia="zh-CN"/>
        </w:rPr>
        <w:t>03</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:2024年预算数为4.52</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0.74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19.58</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2024年度在职人员工资调标，社保缴费基数增加，支出增加。</w:t>
      </w:r>
    </w:p>
    <w:p>
      <w:pPr>
        <w:spacing w:line="560" w:lineRule="exact"/>
        <w:ind w:firstLine="640" w:firstLineChars="200"/>
        <w:rPr>
          <w:rFonts w:hint="eastAsia"/>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210</w:t>
      </w:r>
      <w:r>
        <w:rPr>
          <w:rFonts w:hint="eastAsia" w:ascii="仿宋_GB2312" w:hAnsi="仿宋_GB2312" w:eastAsia="仿宋_GB2312" w:cs="仿宋_GB2312"/>
          <w:sz w:val="32"/>
          <w:szCs w:val="32"/>
        </w:rPr>
        <w:t>类）行政事业单位医疗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lang w:eastAsia="zh-CN"/>
        </w:rPr>
        <w:t>款）其他行政事业单位医疗支出（</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lang w:eastAsia="zh-CN"/>
        </w:rPr>
        <w:t>项）</w:t>
      </w:r>
      <w:r>
        <w:rPr>
          <w:rFonts w:hint="eastAsia" w:ascii="仿宋_GB2312" w:hAnsi="仿宋_GB2312" w:eastAsia="仿宋_GB2312" w:cs="仿宋_GB2312"/>
          <w:kern w:val="0"/>
          <w:sz w:val="32"/>
          <w:szCs w:val="32"/>
          <w:lang w:val="en-US" w:eastAsia="zh-CN"/>
        </w:rPr>
        <w:t>:2024年预算数为</w:t>
      </w:r>
      <w:r>
        <w:rPr>
          <w:rFonts w:hint="eastAsia" w:ascii="仿宋_GB2312" w:hAnsi="仿宋_GB2312" w:eastAsia="仿宋_GB2312" w:cs="仿宋_GB2312"/>
          <w:sz w:val="32"/>
          <w:szCs w:val="32"/>
          <w:lang w:val="en-US" w:eastAsia="zh-CN"/>
        </w:rPr>
        <w:t>0.11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0"/>
          <w:sz w:val="32"/>
          <w:szCs w:val="32"/>
        </w:rPr>
        <w:t>比上年预算增加</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2024年度在职人员工资调标，社保缴费基数增加，支出增加。</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.卫生健康支出（</w:t>
      </w:r>
      <w:r>
        <w:rPr>
          <w:rFonts w:hint="eastAsia" w:ascii="仿宋_GB2312" w:hAnsi="仿宋_GB2312" w:eastAsia="仿宋_GB2312" w:cs="仿宋_GB2312"/>
          <w:kern w:val="0"/>
          <w:sz w:val="32"/>
          <w:szCs w:val="32"/>
          <w:lang w:val="en-US" w:eastAsia="zh-CN"/>
        </w:rPr>
        <w:t>210</w:t>
      </w:r>
      <w:r>
        <w:rPr>
          <w:rFonts w:hint="eastAsia" w:ascii="仿宋_GB2312" w:hAnsi="仿宋_GB2312" w:eastAsia="仿宋_GB2312" w:cs="仿宋_GB2312"/>
          <w:kern w:val="0"/>
          <w:sz w:val="32"/>
          <w:szCs w:val="32"/>
        </w:rPr>
        <w:t>类）医疗保障管理事务（</w:t>
      </w: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rPr>
        <w:t>款）行政运行（</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:2024年预算数为99.78</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12.94</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14.90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呼图壁县医疗保障局在职人员增加</w:t>
      </w:r>
      <w:r>
        <w:rPr>
          <w:rFonts w:hint="eastAsia" w:ascii="仿宋_GB2312" w:hAnsi="宋体" w:eastAsia="仿宋_GB2312" w:cs="宋体"/>
          <w:kern w:val="0"/>
          <w:sz w:val="32"/>
          <w:szCs w:val="32"/>
          <w:lang w:val="en-US" w:eastAsia="zh-CN"/>
        </w:rPr>
        <w:t>1人，基础性绩效奖励增加</w:t>
      </w:r>
      <w:r>
        <w:rPr>
          <w:rFonts w:hint="eastAsia" w:ascii="仿宋_GB2312" w:hAnsi="宋体" w:eastAsia="仿宋_GB2312" w:cs="宋体"/>
          <w:kern w:val="0"/>
          <w:sz w:val="32"/>
          <w:szCs w:val="32"/>
          <w:lang w:eastAsia="zh-CN"/>
        </w:rPr>
        <w:t>，其社保公积金缴费有所增加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.卫生健康支出（</w:t>
      </w:r>
      <w:r>
        <w:rPr>
          <w:rFonts w:hint="eastAsia" w:ascii="仿宋_GB2312" w:hAnsi="仿宋_GB2312" w:eastAsia="仿宋_GB2312" w:cs="仿宋_GB2312"/>
          <w:kern w:val="0"/>
          <w:sz w:val="32"/>
          <w:szCs w:val="32"/>
          <w:lang w:val="en-US" w:eastAsia="zh-CN"/>
        </w:rPr>
        <w:t>210</w:t>
      </w:r>
      <w:r>
        <w:rPr>
          <w:rFonts w:hint="eastAsia" w:ascii="仿宋_GB2312" w:hAnsi="仿宋_GB2312" w:eastAsia="仿宋_GB2312" w:cs="仿宋_GB2312"/>
          <w:kern w:val="0"/>
          <w:sz w:val="32"/>
          <w:szCs w:val="32"/>
        </w:rPr>
        <w:t>类）医疗保障管理事务（</w:t>
      </w: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rPr>
        <w:t>款）事业运行（</w:t>
      </w:r>
      <w:r>
        <w:rPr>
          <w:rFonts w:hint="eastAsia" w:ascii="仿宋_GB2312" w:hAnsi="仿宋_GB2312" w:eastAsia="仿宋_GB2312" w:cs="仿宋_GB2312"/>
          <w:kern w:val="0"/>
          <w:sz w:val="32"/>
          <w:szCs w:val="32"/>
          <w:lang w:val="en-US" w:eastAsia="zh-CN"/>
        </w:rPr>
        <w:t>50</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:2024年预算数为165.99</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39.33</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31.05</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呼图壁县医疗保障局在职人员增加</w:t>
      </w:r>
      <w:r>
        <w:rPr>
          <w:rFonts w:hint="eastAsia" w:ascii="仿宋_GB2312" w:hAnsi="宋体" w:eastAsia="仿宋_GB2312" w:cs="宋体"/>
          <w:kern w:val="0"/>
          <w:sz w:val="32"/>
          <w:szCs w:val="32"/>
          <w:lang w:val="en-US" w:eastAsia="zh-CN"/>
        </w:rPr>
        <w:t>1人，基础性绩效奖励增加</w:t>
      </w:r>
      <w:r>
        <w:rPr>
          <w:rFonts w:hint="eastAsia" w:ascii="仿宋_GB2312" w:hAnsi="宋体" w:eastAsia="仿宋_GB2312" w:cs="宋体"/>
          <w:kern w:val="0"/>
          <w:sz w:val="32"/>
          <w:szCs w:val="32"/>
          <w:lang w:eastAsia="zh-CN"/>
        </w:rPr>
        <w:t>，其社保公积金缴费有所增加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.住房保障支出（</w:t>
      </w:r>
      <w:r>
        <w:rPr>
          <w:rFonts w:hint="eastAsia" w:ascii="仿宋_GB2312" w:hAnsi="仿宋_GB2312" w:eastAsia="仿宋_GB2312" w:cs="仿宋_GB2312"/>
          <w:kern w:val="0"/>
          <w:sz w:val="32"/>
          <w:szCs w:val="32"/>
          <w:lang w:val="en-US" w:eastAsia="zh-CN"/>
        </w:rPr>
        <w:t>221</w:t>
      </w:r>
      <w:r>
        <w:rPr>
          <w:rFonts w:hint="eastAsia" w:ascii="仿宋_GB2312" w:hAnsi="仿宋_GB2312" w:eastAsia="仿宋_GB2312" w:cs="仿宋_GB2312"/>
          <w:kern w:val="0"/>
          <w:sz w:val="32"/>
          <w:szCs w:val="32"/>
        </w:rPr>
        <w:t>类）住房改革支出（</w:t>
      </w:r>
      <w:r>
        <w:rPr>
          <w:rFonts w:hint="eastAsia" w:ascii="仿宋_GB2312" w:hAnsi="仿宋_GB2312" w:eastAsia="仿宋_GB2312" w:cs="仿宋_GB2312"/>
          <w:kern w:val="0"/>
          <w:sz w:val="32"/>
          <w:szCs w:val="32"/>
          <w:lang w:val="en-US" w:eastAsia="zh-CN"/>
        </w:rPr>
        <w:t>02</w:t>
      </w:r>
      <w:r>
        <w:rPr>
          <w:rFonts w:hint="eastAsia" w:ascii="仿宋_GB2312" w:hAnsi="仿宋_GB2312" w:eastAsia="仿宋_GB2312" w:cs="仿宋_GB2312"/>
          <w:kern w:val="0"/>
          <w:sz w:val="32"/>
          <w:szCs w:val="32"/>
        </w:rPr>
        <w:t>款）住房公积金（</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:2023年预算数为27.16</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6.04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28.60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呼图壁县医疗保障局在职人员增加</w:t>
      </w:r>
      <w:r>
        <w:rPr>
          <w:rFonts w:hint="eastAsia" w:ascii="仿宋_GB2312" w:hAnsi="宋体" w:eastAsia="仿宋_GB2312" w:cs="宋体"/>
          <w:kern w:val="0"/>
          <w:sz w:val="32"/>
          <w:szCs w:val="32"/>
          <w:lang w:val="en-US" w:eastAsia="zh-CN"/>
        </w:rPr>
        <w:t>1人，基础性绩效奖励增加</w:t>
      </w:r>
      <w:r>
        <w:rPr>
          <w:rFonts w:hint="eastAsia" w:ascii="仿宋_GB2312" w:hAnsi="宋体" w:eastAsia="仿宋_GB2312" w:cs="宋体"/>
          <w:kern w:val="0"/>
          <w:sz w:val="32"/>
          <w:szCs w:val="32"/>
          <w:lang w:eastAsia="zh-CN"/>
        </w:rPr>
        <w:t>，其社保公积金缴费有所增加</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呼图壁县医疗保障局2024年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呼图壁县医疗保障局2024年一般公共预算基本支出    350.57万元， 其中：</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仿宋_GB2312" w:eastAsia="仿宋_GB2312" w:cs="仿宋_GB2312"/>
          <w:kern w:val="0"/>
          <w:sz w:val="32"/>
          <w:szCs w:val="32"/>
          <w:lang w:val="en-US" w:eastAsia="zh-CN"/>
        </w:rPr>
        <w:t>人员经费341.34万元，主要包括：基本工资、津贴补贴、奖金、绩效工资、机关事业单位基本养老保险缴费、职业年金缴费、职工基本医疗保险缴费、公务员医疗补助缴费、其他社会保障缴费、住房公积金、医疗费、其他工资福利支出、退休费、奖励金、其他对个人和家庭的</w:t>
      </w:r>
      <w:r>
        <w:rPr>
          <w:rFonts w:hint="eastAsia" w:ascii="仿宋_GB2312" w:hAnsi="宋体" w:eastAsia="仿宋_GB2312" w:cs="宋体"/>
          <w:color w:val="auto"/>
          <w:kern w:val="0"/>
          <w:sz w:val="32"/>
          <w:szCs w:val="32"/>
          <w:highlight w:val="none"/>
        </w:rPr>
        <w:t>补助等。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宋体" w:eastAsia="仿宋_GB2312" w:cs="宋体"/>
          <w:color w:val="auto"/>
          <w:kern w:val="0"/>
          <w:sz w:val="32"/>
          <w:szCs w:val="32"/>
          <w:highlight w:val="none"/>
        </w:rPr>
        <w:t>公</w:t>
      </w:r>
      <w:r>
        <w:rPr>
          <w:rFonts w:hint="eastAsia" w:ascii="仿宋_GB2312" w:hAnsi="仿宋_GB2312" w:eastAsia="仿宋_GB2312" w:cs="仿宋_GB2312"/>
          <w:kern w:val="0"/>
          <w:sz w:val="32"/>
          <w:szCs w:val="32"/>
          <w:lang w:val="en-US" w:eastAsia="zh-CN"/>
        </w:rPr>
        <w:t>用经费9.23万元，主要包括：办公费、印刷费、水费、电费、邮电费、差旅费、维修（护）费、工会经费、公务用车运行维护费等。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呼图壁县医疗保障局2024年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呼图壁县医疗保障局2024年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2024年未安排预算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2024年未安排预算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2024年公务用车运行费预算与2023年相比无变动，均为1.6万元</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2024年未安排预算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lang w:val="en-US" w:eastAsia="zh-CN"/>
        </w:rPr>
        <w:t>上年结转结余11.25万元，包括：财政拨款11.25万元，非财政拨款0万元，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昌州财社[2023]33号--昌吉州州级统筹社会保险扩面征收工作经费（</w:t>
      </w:r>
      <w:r>
        <w:rPr>
          <w:rFonts w:hint="eastAsia" w:ascii="仿宋_GB2312" w:hAnsi="仿宋_GB2312" w:eastAsia="仿宋_GB2312" w:cs="仿宋_GB2312"/>
          <w:color w:val="auto"/>
          <w:kern w:val="0"/>
          <w:sz w:val="32"/>
          <w:szCs w:val="32"/>
          <w:highlight w:val="none"/>
          <w:lang w:val="en-US" w:eastAsia="zh-CN"/>
        </w:rPr>
        <w:t>项目）11.25</w:t>
      </w:r>
      <w:r>
        <w:rPr>
          <w:rFonts w:hint="eastAsia" w:ascii="仿宋_GB2312" w:hAnsi="仿宋_GB2312" w:eastAsia="仿宋_GB2312" w:cs="仿宋_GB2312"/>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lang w:val="en-US" w:eastAsia="zh-CN"/>
        </w:rPr>
        <w:t>主要用于：医保政策宣传、办公用品采购、监督检查及扩面征缴方面业务经费。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9.23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2.78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增加43.10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2024年在职职工</w:t>
      </w:r>
      <w:r>
        <w:rPr>
          <w:rFonts w:hint="eastAsia" w:ascii="仿宋_GB2312" w:hAnsi="仿宋_GB2312" w:eastAsia="仿宋_GB2312" w:cs="仿宋_GB2312"/>
          <w:color w:val="auto"/>
          <w:kern w:val="0"/>
          <w:sz w:val="32"/>
          <w:szCs w:val="32"/>
          <w:highlight w:val="none"/>
          <w:lang w:eastAsia="zh-CN"/>
        </w:rPr>
        <w:t>新增</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呼图壁县医疗保障局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12.86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4.72</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8.14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呼图壁县医疗保障局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12.86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12.86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呼图壁县医疗保障局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14.42</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14.42</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5.56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15.31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2024年单位</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整体预算绩效目标1个，涉及金额527.32万元；当年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涉及预算金额527.32万元；当年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bookmarkStart w:id="0" w:name="_GoBack"/>
      <w:bookmarkEnd w:id="0"/>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2"/>
        <w:gridCol w:w="1125"/>
        <w:gridCol w:w="2085"/>
        <w:gridCol w:w="1185"/>
        <w:gridCol w:w="2114"/>
        <w:gridCol w:w="541"/>
        <w:gridCol w:w="12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7"/>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7"/>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14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单位</w:t>
            </w:r>
            <w:r>
              <w:rPr>
                <w:rFonts w:hint="eastAsia" w:ascii="宋体" w:hAnsi="宋体" w:eastAsia="宋体" w:cs="宋体"/>
                <w:i w:val="0"/>
                <w:iCs w:val="0"/>
                <w:color w:val="000000"/>
                <w:kern w:val="0"/>
                <w:sz w:val="20"/>
                <w:szCs w:val="20"/>
                <w:u w:val="none"/>
                <w:lang w:val="en-US" w:eastAsia="zh-CN" w:bidi="ar"/>
              </w:rPr>
              <w:t>名称（盖章）</w:t>
            </w:r>
          </w:p>
        </w:tc>
        <w:tc>
          <w:tcPr>
            <w:tcW w:w="7193"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214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单位</w:t>
            </w:r>
            <w:r>
              <w:rPr>
                <w:rFonts w:hint="eastAsia" w:ascii="宋体" w:hAnsi="宋体" w:eastAsia="宋体" w:cs="宋体"/>
                <w:i w:val="0"/>
                <w:iCs w:val="0"/>
                <w:color w:val="000000"/>
                <w:kern w:val="0"/>
                <w:sz w:val="20"/>
                <w:szCs w:val="20"/>
                <w:u w:val="none"/>
                <w:lang w:val="en-US" w:eastAsia="zh-CN" w:bidi="ar"/>
              </w:rPr>
              <w:t>联系人</w:t>
            </w:r>
          </w:p>
        </w:tc>
        <w:tc>
          <w:tcPr>
            <w:tcW w:w="327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李新玲</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18109943311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14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7193"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呼图壁县医疗保障局2024年预算为单位人员经费费用和单位运转经费，维持本单位完成基本运转保障，能完成以下目标：</w:t>
            </w:r>
          </w:p>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1.医疗保障局贯彻国家、自治区、昌吉州医疗保障制度，保障办公人员的公用经费正常使用。</w:t>
            </w:r>
          </w:p>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 xml:space="preserve">2.保障公务用车正常使用。                        </w:t>
            </w:r>
          </w:p>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3.落实国家、区、州、县级经费管理和支付标准的工作。</w:t>
            </w:r>
          </w:p>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 xml:space="preserve">4.制定定点医疗机构协议和支付管理办法并组织实施，负责医疗保障经办管理，监督管理纳入医保范围内的医疗服务行为和医疗费用。                                                                                              </w:t>
            </w:r>
          </w:p>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 xml:space="preserve">5.落实异地就医费用结算工作。                                                                                                                    </w:t>
            </w:r>
          </w:p>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 xml:space="preserve">6.落实医疗跨地区转移。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147"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327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2147"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08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2147"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0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361.82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2147"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0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0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1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0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1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125"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对定点零售药店进行监督管理数量</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&gt;=78个</w:t>
            </w: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2023年1月-12月医疗保障经办机构协议管理工作情况汇总表</w:t>
            </w: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5"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对定点医疗机构进行监督管理数量</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&gt;=41个</w:t>
            </w: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2023年1月-12月医疗保障经办机构协议管理工作情况汇总表</w:t>
            </w: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5"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基本医疗保险参保率</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关于实施2023年自治区基本医疗保险参保计划的通知</w:t>
            </w: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5"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基本医疗保险参保人数</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&gt;=11万人</w:t>
            </w: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关于实施2023年自治区基本医疗保险参保计划的通知</w:t>
            </w: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10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10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可持续发展能力</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服务对象满意度</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bl>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bl>
      <w:tblPr>
        <w:tblStyle w:val="7"/>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613"/>
        <w:gridCol w:w="304"/>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0"/>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0"/>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昌州财社【2023】33号---关于拨付昌吉州州级统筹社会保险扩面征收工作经费</w:t>
            </w:r>
          </w:p>
        </w:tc>
        <w:tc>
          <w:tcPr>
            <w:tcW w:w="1998"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马丽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11.25</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11.25</w:t>
            </w:r>
          </w:p>
        </w:tc>
        <w:tc>
          <w:tcPr>
            <w:tcW w:w="91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 xml:space="preserve">    </w:t>
            </w:r>
            <w:r>
              <w:rPr>
                <w:rFonts w:hint="eastAsia" w:ascii="宋体" w:hAnsi="宋体" w:eastAsia="宋体" w:cs="宋体"/>
                <w:i w:val="0"/>
                <w:iCs w:val="0"/>
                <w:color w:val="000000"/>
                <w:sz w:val="18"/>
                <w:szCs w:val="18"/>
                <w:highlight w:val="none"/>
                <w:u w:val="none"/>
              </w:rPr>
              <w:t>为进一步加强昌吉州医疗保险扩面征缴管理工作，充分调动全州社会保险经办机构工作积极性。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基本医疗保险参保人数</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&gt;=11万人</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宋体" w:hAnsi="宋体" w:eastAsia="宋体" w:cs="宋体"/>
                <w:i w:val="0"/>
                <w:iCs w:val="0"/>
                <w:color w:val="000000"/>
                <w:sz w:val="18"/>
                <w:szCs w:val="18"/>
                <w:highlight w:val="none"/>
                <w:u w:val="none"/>
              </w:rPr>
            </w:pP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w:t>
            </w: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生育保险参保人数</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&gt;=1.40万人</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宋体" w:hAnsi="宋体" w:eastAsia="宋体" w:cs="宋体"/>
                <w:i w:val="0"/>
                <w:iCs w:val="0"/>
                <w:color w:val="000000"/>
                <w:sz w:val="18"/>
                <w:szCs w:val="18"/>
                <w:highlight w:val="none"/>
                <w:u w:val="none"/>
              </w:rPr>
            </w:pP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w:t>
            </w: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以户籍人口为基数计算的综合人口参保率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宋体" w:hAnsi="宋体" w:eastAsia="宋体" w:cs="宋体"/>
                <w:i w:val="0"/>
                <w:iCs w:val="0"/>
                <w:color w:val="000000"/>
                <w:sz w:val="18"/>
                <w:szCs w:val="18"/>
                <w:highlight w:val="none"/>
                <w:u w:val="none"/>
              </w:rPr>
            </w:pP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w:t>
            </w: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各项社保保险基金季报数据及分析报送及时率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宋体" w:hAnsi="宋体" w:eastAsia="宋体" w:cs="宋体"/>
                <w:i w:val="0"/>
                <w:iCs w:val="0"/>
                <w:color w:val="000000"/>
                <w:sz w:val="18"/>
                <w:szCs w:val="18"/>
                <w:highlight w:val="none"/>
                <w:u w:val="none"/>
              </w:rPr>
            </w:pP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w:t>
            </w: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宋体" w:hAnsi="宋体" w:eastAsia="宋体" w:cs="宋体"/>
                <w:i w:val="0"/>
                <w:iCs w:val="0"/>
                <w:color w:val="000000"/>
                <w:sz w:val="18"/>
                <w:szCs w:val="18"/>
                <w:highlight w:val="none"/>
                <w:u w:val="none"/>
              </w:rPr>
            </w:pP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20</w:t>
            </w: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提高社会保险经办机构工作积极性</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宋体" w:hAnsi="宋体" w:eastAsia="宋体" w:cs="宋体"/>
                <w:i w:val="0"/>
                <w:iCs w:val="0"/>
                <w:color w:val="000000"/>
                <w:sz w:val="18"/>
                <w:szCs w:val="18"/>
                <w:highlight w:val="none"/>
                <w:u w:val="none"/>
              </w:rPr>
            </w:pP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20</w:t>
            </w: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outlineLvl w:val="9"/>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乡镇社区满意度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宋体" w:hAnsi="宋体" w:eastAsia="宋体" w:cs="宋体"/>
                <w:i w:val="0"/>
                <w:iCs w:val="0"/>
                <w:color w:val="000000"/>
                <w:sz w:val="18"/>
                <w:szCs w:val="18"/>
                <w:highlight w:val="none"/>
                <w:u w:val="none"/>
              </w:rPr>
            </w:pPr>
          </w:p>
        </w:tc>
        <w:tc>
          <w:tcPr>
            <w:tcW w:w="6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10</w:t>
            </w:r>
          </w:p>
        </w:tc>
        <w:tc>
          <w:tcPr>
            <w:tcW w:w="101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呼图壁县医疗保障局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23</w:t>
      </w:r>
      <w:r>
        <w:rPr>
          <w:rFonts w:ascii="仿宋_GB2312" w:hAnsi="宋体" w:eastAsia="仿宋_GB2312" w:cs="宋体"/>
          <w:kern w:val="0"/>
          <w:sz w:val="32"/>
          <w:szCs w:val="32"/>
          <w:highlight w:val="none"/>
        </w:rPr>
        <w:t>日</w:t>
      </w:r>
    </w:p>
    <w:p>
      <w:pPr>
        <w:jc w:val="both"/>
        <w:rPr>
          <w:highlight w:val="none"/>
        </w:rPr>
      </w:pPr>
    </w:p>
    <w:p>
      <w:pPr>
        <w:jc w:val="both"/>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BE2198"/>
    <w:rsid w:val="00EE2224"/>
    <w:rsid w:val="025B0690"/>
    <w:rsid w:val="04267B2D"/>
    <w:rsid w:val="05397FD9"/>
    <w:rsid w:val="070E6657"/>
    <w:rsid w:val="08450B28"/>
    <w:rsid w:val="0A13757F"/>
    <w:rsid w:val="0B247F12"/>
    <w:rsid w:val="0C4E2AFC"/>
    <w:rsid w:val="0D1E4879"/>
    <w:rsid w:val="0D6E5FD0"/>
    <w:rsid w:val="0DFF398A"/>
    <w:rsid w:val="0E9208E7"/>
    <w:rsid w:val="0EB11931"/>
    <w:rsid w:val="10587512"/>
    <w:rsid w:val="10916BDA"/>
    <w:rsid w:val="122A068B"/>
    <w:rsid w:val="126148E1"/>
    <w:rsid w:val="13870AAD"/>
    <w:rsid w:val="1697741D"/>
    <w:rsid w:val="1732414C"/>
    <w:rsid w:val="1BEB54C3"/>
    <w:rsid w:val="1BF314B6"/>
    <w:rsid w:val="1C3C6084"/>
    <w:rsid w:val="1C84792D"/>
    <w:rsid w:val="1CB232A7"/>
    <w:rsid w:val="1CEB6DC6"/>
    <w:rsid w:val="1CEC0597"/>
    <w:rsid w:val="1CFF60C6"/>
    <w:rsid w:val="1D3E1AFE"/>
    <w:rsid w:val="1E2308B5"/>
    <w:rsid w:val="1E837F52"/>
    <w:rsid w:val="1EB61656"/>
    <w:rsid w:val="1EF952A2"/>
    <w:rsid w:val="20C217C9"/>
    <w:rsid w:val="20DD55C0"/>
    <w:rsid w:val="217628AF"/>
    <w:rsid w:val="22442D10"/>
    <w:rsid w:val="22DB78DD"/>
    <w:rsid w:val="244D65B8"/>
    <w:rsid w:val="2492221D"/>
    <w:rsid w:val="26B4291F"/>
    <w:rsid w:val="26E769FA"/>
    <w:rsid w:val="293B2E83"/>
    <w:rsid w:val="2A012DF7"/>
    <w:rsid w:val="2AC81D96"/>
    <w:rsid w:val="2AFC4894"/>
    <w:rsid w:val="2BA9215D"/>
    <w:rsid w:val="2D480265"/>
    <w:rsid w:val="2D826DBD"/>
    <w:rsid w:val="2D977453"/>
    <w:rsid w:val="2EF22236"/>
    <w:rsid w:val="30427041"/>
    <w:rsid w:val="33561732"/>
    <w:rsid w:val="360E4E21"/>
    <w:rsid w:val="396D346C"/>
    <w:rsid w:val="3BC468DC"/>
    <w:rsid w:val="3C1165F7"/>
    <w:rsid w:val="3CC37D5A"/>
    <w:rsid w:val="3D3D157C"/>
    <w:rsid w:val="3F6002C7"/>
    <w:rsid w:val="3FDF4D23"/>
    <w:rsid w:val="409D37BD"/>
    <w:rsid w:val="426A12E1"/>
    <w:rsid w:val="43783147"/>
    <w:rsid w:val="43C26223"/>
    <w:rsid w:val="43D8307E"/>
    <w:rsid w:val="457C29E6"/>
    <w:rsid w:val="45E00F5C"/>
    <w:rsid w:val="46CE3131"/>
    <w:rsid w:val="47B343A7"/>
    <w:rsid w:val="494F7907"/>
    <w:rsid w:val="4C0055E5"/>
    <w:rsid w:val="4C3677AE"/>
    <w:rsid w:val="4C451D5C"/>
    <w:rsid w:val="4C706B3A"/>
    <w:rsid w:val="4CAA2CF4"/>
    <w:rsid w:val="51C15CED"/>
    <w:rsid w:val="52285DEB"/>
    <w:rsid w:val="52AD62F0"/>
    <w:rsid w:val="546308FE"/>
    <w:rsid w:val="55BE1362"/>
    <w:rsid w:val="56152946"/>
    <w:rsid w:val="586B7F87"/>
    <w:rsid w:val="588B080B"/>
    <w:rsid w:val="58DC1A39"/>
    <w:rsid w:val="5AEF1AD9"/>
    <w:rsid w:val="5F2346ED"/>
    <w:rsid w:val="61086613"/>
    <w:rsid w:val="6408782B"/>
    <w:rsid w:val="65322CBF"/>
    <w:rsid w:val="67C21AD5"/>
    <w:rsid w:val="68CC52CB"/>
    <w:rsid w:val="68DE4FFE"/>
    <w:rsid w:val="68F43700"/>
    <w:rsid w:val="694B58D7"/>
    <w:rsid w:val="69CE4E15"/>
    <w:rsid w:val="69D924A6"/>
    <w:rsid w:val="6A693D3F"/>
    <w:rsid w:val="6B7F3246"/>
    <w:rsid w:val="6D823FFB"/>
    <w:rsid w:val="6EF07839"/>
    <w:rsid w:val="6EF84BE3"/>
    <w:rsid w:val="6F63000B"/>
    <w:rsid w:val="72B56DCF"/>
    <w:rsid w:val="73D31BE5"/>
    <w:rsid w:val="744E6E42"/>
    <w:rsid w:val="75B570E6"/>
    <w:rsid w:val="77BF16C6"/>
    <w:rsid w:val="77C477C9"/>
    <w:rsid w:val="780A1873"/>
    <w:rsid w:val="787D11B8"/>
    <w:rsid w:val="792C5912"/>
    <w:rsid w:val="79CF05FC"/>
    <w:rsid w:val="7AC670C7"/>
    <w:rsid w:val="7E111DC3"/>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12</TotalTime>
  <ScaleCrop>false</ScaleCrop>
  <LinksUpToDate>false</LinksUpToDate>
  <CharactersWithSpaces>0</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2024-07-15T10:00:39Z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4C022DE3785040F188798BDE1CAC2485_13</vt:lpwstr>
  </property>
</Properties>
</file>